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40"/>
      </w:pPr>
      <w:r>
        <w:rPr>
          <w:rFonts w:ascii="Calibri" w:cs="Calibri" w:eastAsia="Calibri" w:hAnsi="Calibri"/>
          <w:b/>
          <w:bCs/>
          <w:color w:val="00A8A8"/>
          <w:sz w:val="22"/>
          <w:szCs w:val="22"/>
        </w:rPr>
        <w:t xml:space="preserve">electroSOFT</w:t>
      </w:r>
    </w:p>
    <w:p>
      <w:pPr>
        <w:spacing w:after="200"/>
      </w:pPr>
      <w:r>
        <w:rPr>
          <w:rFonts w:ascii="Calibri" w:cs="Calibri" w:eastAsia="Calibri" w:hAnsi="Calibri"/>
          <w:color w:val="5B6B79"/>
          <w:sz w:val="17"/>
          <w:szCs w:val="17"/>
        </w:rPr>
        <w:t xml:space="preserve">AI PRODUCT DEVELOPMENT — TECHNICAL REFERENCE</w:t>
      </w:r>
    </w:p>
    <w:p>
      <w:pPr>
        <w:spacing w:after="100"/>
      </w:pPr>
      <w:r>
        <w:rPr>
          <w:rFonts w:ascii="Calibri" w:cs="Calibri" w:eastAsia="Calibri" w:hAnsi="Calibri"/>
          <w:b/>
          <w:bCs/>
          <w:color w:val="0B1F3A"/>
          <w:sz w:val="46"/>
          <w:szCs w:val="46"/>
        </w:rPr>
        <w:t xml:space="preserve">Fraud Detection Scoring API</w:t>
      </w:r>
    </w:p>
    <w:p>
      <w:pPr>
        <w:spacing w:after="300"/>
      </w:pPr>
      <w:r>
        <w:rPr>
          <w:rFonts w:ascii="Calibri" w:cs="Calibri" w:eastAsia="Calibri" w:hAnsi="Calibri"/>
          <w:color w:val="1F4E79"/>
          <w:sz w:val="24"/>
          <w:szCs w:val="24"/>
        </w:rPr>
        <w:t xml:space="preserve">API Documentation — v1.3 · AI Fraud Detection MVP</w:t>
      </w:r>
    </w:p>
    <w:tbl>
      <w:tblPr>
        <w:tblW w:type="pct" w:w="100%"/>
        <w:tblBorders>
          <w:top w:val="single" w:color="D6DEE5" w:sz="4"/>
          <w:left w:val="single" w:color="D6DEE5" w:sz="4"/>
          <w:bottom w:val="single" w:color="D6DEE5" w:sz="4"/>
          <w:right w:val="single" w:color="D6DEE5" w:sz="4"/>
          <w:insideH w:val="single" w:color="D6DEE5" w:sz="4"/>
          <w:insideV w:val="single" w:color="D6DEE5" w:sz="4"/>
        </w:tblBorders>
      </w:tblPr>
      <w:tblGrid>
        <w:gridCol w:w="3200"/>
        <w:gridCol w:w="6300"/>
      </w:tblGrid>
      <w:tr>
        <w:trPr>
          <w:tblHeader/>
        </w:trPr>
        <w:tc>
          <w:tcPr>
            <w:tcW w:type="dxa" w:w="3200"/>
            <w:shd w:fill="1F4E79" w:color="auto" w:val="clear"/>
            <w:tcMar>
              <w:top w:type="dxa" w:w="90"/>
              <w:left w:type="dxa" w:w="110"/>
              <w:bottom w:type="dxa" w:w="90"/>
              <w:right w:type="dxa" w:w="110"/>
            </w:tcMar>
            <w:vAlign w:val="center"/>
          </w:tcPr>
          <w:p>
            <w:r>
              <w:rPr>
                <w:rFonts w:ascii="Calibri" w:cs="Calibri" w:eastAsia="Calibri" w:hAnsi="Calibri"/>
                <w:b/>
                <w:bCs/>
                <w:color w:val="FFFFFF"/>
                <w:sz w:val="18"/>
                <w:szCs w:val="18"/>
              </w:rPr>
              <w:t xml:space="preserve">Attribute</w:t>
            </w:r>
          </w:p>
        </w:tc>
        <w:tc>
          <w:tcPr>
            <w:tcW w:type="dxa" w:w="6300"/>
            <w:shd w:fill="1F4E79" w:color="auto" w:val="clear"/>
            <w:tcMar>
              <w:top w:type="dxa" w:w="90"/>
              <w:left w:type="dxa" w:w="110"/>
              <w:bottom w:type="dxa" w:w="90"/>
              <w:right w:type="dxa" w:w="110"/>
            </w:tcMar>
            <w:vAlign w:val="center"/>
          </w:tcPr>
          <w:p>
            <w:r>
              <w:rPr>
                <w:rFonts w:ascii="Calibri" w:cs="Calibri" w:eastAsia="Calibri" w:hAnsi="Calibri"/>
                <w:b/>
                <w:bCs/>
                <w:color w:val="FFFFFF"/>
                <w:sz w:val="18"/>
                <w:szCs w:val="18"/>
              </w:rPr>
              <w:t xml:space="preserve">Value</w:t>
            </w:r>
          </w:p>
        </w:tc>
      </w:tr>
      <w:tr>
        <w:tc>
          <w:tcPr>
            <w:tcW w:type="dxa" w:w="32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Project</w:t>
            </w:r>
          </w:p>
        </w:tc>
        <w:tc>
          <w:tcPr>
            <w:tcW w:type="dxa" w:w="63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AI Fraud Detection MVP</w:t>
            </w:r>
          </w:p>
        </w:tc>
      </w:tr>
      <w:tr>
        <w:tc>
          <w:tcPr>
            <w:tcW w:type="dxa" w:w="3200"/>
            <w:shd w:fill="F2F6F9"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Service category</w:t>
            </w:r>
          </w:p>
        </w:tc>
        <w:tc>
          <w:tcPr>
            <w:tcW w:type="dxa" w:w="6300"/>
            <w:shd w:fill="F2F6F9"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AI Product Development</w:t>
            </w:r>
          </w:p>
        </w:tc>
      </w:tr>
      <w:tr>
        <w:tc>
          <w:tcPr>
            <w:tcW w:type="dxa" w:w="32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Base URL (production)</w:t>
            </w:r>
          </w:p>
        </w:tc>
        <w:tc>
          <w:tcPr>
            <w:tcW w:type="dxa" w:w="63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https://fraud-api.client-lending.electrosoft.io/v1</w:t>
            </w:r>
          </w:p>
        </w:tc>
      </w:tr>
      <w:tr>
        <w:tc>
          <w:tcPr>
            <w:tcW w:type="dxa" w:w="3200"/>
            <w:shd w:fill="F2F6F9"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Protocol</w:t>
            </w:r>
          </w:p>
        </w:tc>
        <w:tc>
          <w:tcPr>
            <w:tcW w:type="dxa" w:w="6300"/>
            <w:shd w:fill="F2F6F9"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HTTPS / REST, JSON payloads</w:t>
            </w:r>
          </w:p>
        </w:tc>
      </w:tr>
      <w:tr>
        <w:tc>
          <w:tcPr>
            <w:tcW w:type="dxa" w:w="32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Authentication</w:t>
            </w:r>
          </w:p>
        </w:tc>
        <w:tc>
          <w:tcPr>
            <w:tcW w:type="dxa" w:w="63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Bearer token (OAuth2 client-credentials) + HMAC request signing</w:t>
            </w:r>
          </w:p>
        </w:tc>
      </w:tr>
      <w:tr>
        <w:tc>
          <w:tcPr>
            <w:tcW w:type="dxa" w:w="3200"/>
            <w:shd w:fill="F2F6F9"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Target latency (P95)</w:t>
            </w:r>
          </w:p>
        </w:tc>
        <w:tc>
          <w:tcPr>
            <w:tcW w:type="dxa" w:w="6300"/>
            <w:shd w:fill="F2F6F9"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&lt; 100 ms end-to-end</w:t>
            </w:r>
          </w:p>
        </w:tc>
      </w:tr>
      <w:tr>
        <w:tc>
          <w:tcPr>
            <w:tcW w:type="dxa" w:w="32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Document owner</w:t>
            </w:r>
          </w:p>
        </w:tc>
        <w:tc>
          <w:tcPr>
            <w:tcW w:type="dxa" w:w="63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Kofi Mensah — Backend / Platform Engineer</w:t>
            </w:r>
          </w:p>
        </w:tc>
      </w:tr>
      <w:tr>
        <w:tc>
          <w:tcPr>
            <w:tcW w:type="dxa" w:w="3200"/>
            <w:shd w:fill="F2F6F9"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Last updated</w:t>
            </w:r>
          </w:p>
        </w:tc>
        <w:tc>
          <w:tcPr>
            <w:tcW w:type="dxa" w:w="6300"/>
            <w:shd w:fill="F2F6F9"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March 2026</w:t>
            </w:r>
          </w:p>
        </w:tc>
      </w:tr>
    </w:tbl>
    <w:p>
      <w:pPr>
        <w:spacing w:after="200"/>
      </w:pPr>
    </w:p>
    <w:p>
      <w:r>
        <w:br w:type="page"/>
      </w:r>
    </w:p>
    <w:p>
      <w:pPr>
        <w:pStyle w:val="Heading1"/>
        <w:pBdr>
          <w:bottom w:val="single" w:color="00A8A8" w:sz="12" w:space="4"/>
        </w:pBdr>
        <w:spacing w:after="160" w:before="360"/>
      </w:pPr>
      <w:r>
        <w:rPr>
          <w:rFonts w:ascii="Calibri" w:cs="Calibri" w:eastAsia="Calibri" w:hAnsi="Calibri"/>
          <w:b/>
          <w:bCs/>
          <w:color w:val="0B1F3A"/>
          <w:sz w:val="30"/>
          <w:szCs w:val="30"/>
        </w:rPr>
        <w:t xml:space="preserve">Table of Contents</w:t>
      </w:r>
    </w:p>
    <w:p>
      <w:pPr>
        <w:spacing w:after="70"/>
      </w:pPr>
      <w:r>
        <w:rPr>
          <w:rFonts w:ascii="Calibri" w:cs="Calibri" w:eastAsia="Calibri" w:hAnsi="Calibri"/>
          <w:color w:val="33404A"/>
          <w:sz w:val="21"/>
          <w:szCs w:val="21"/>
        </w:rPr>
        <w:t xml:space="preserve">1. Overview</w:t>
      </w:r>
    </w:p>
    <w:p>
      <w:pPr>
        <w:spacing w:after="70"/>
      </w:pPr>
      <w:r>
        <w:rPr>
          <w:rFonts w:ascii="Calibri" w:cs="Calibri" w:eastAsia="Calibri" w:hAnsi="Calibri"/>
          <w:color w:val="33404A"/>
          <w:sz w:val="21"/>
          <w:szCs w:val="21"/>
        </w:rPr>
        <w:t xml:space="preserve">2. Authentication</w:t>
      </w:r>
    </w:p>
    <w:p>
      <w:pPr>
        <w:spacing w:after="70"/>
      </w:pPr>
      <w:r>
        <w:rPr>
          <w:rFonts w:ascii="Calibri" w:cs="Calibri" w:eastAsia="Calibri" w:hAnsi="Calibri"/>
          <w:color w:val="33404A"/>
          <w:sz w:val="21"/>
          <w:szCs w:val="21"/>
        </w:rPr>
        <w:t xml:space="preserve">3. Base URL &amp; Environments</w:t>
      </w:r>
    </w:p>
    <w:p>
      <w:pPr>
        <w:spacing w:after="70"/>
      </w:pPr>
      <w:r>
        <w:rPr>
          <w:rFonts w:ascii="Calibri" w:cs="Calibri" w:eastAsia="Calibri" w:hAnsi="Calibri"/>
          <w:color w:val="33404A"/>
          <w:sz w:val="21"/>
          <w:szCs w:val="21"/>
        </w:rPr>
        <w:t xml:space="preserve">4. Rate Limiting</w:t>
      </w:r>
    </w:p>
    <w:p>
      <w:pPr>
        <w:spacing w:after="70"/>
      </w:pPr>
      <w:r>
        <w:rPr>
          <w:rFonts w:ascii="Calibri" w:cs="Calibri" w:eastAsia="Calibri" w:hAnsi="Calibri"/>
          <w:color w:val="33404A"/>
          <w:sz w:val="21"/>
          <w:szCs w:val="21"/>
        </w:rPr>
        <w:t xml:space="preserve">5. Endpoint: Score Application</w:t>
      </w:r>
    </w:p>
    <w:p>
      <w:pPr>
        <w:spacing w:after="70"/>
      </w:pPr>
      <w:r>
        <w:rPr>
          <w:rFonts w:ascii="Calibri" w:cs="Calibri" w:eastAsia="Calibri" w:hAnsi="Calibri"/>
          <w:color w:val="33404A"/>
          <w:sz w:val="21"/>
          <w:szCs w:val="21"/>
        </w:rPr>
        <w:t xml:space="preserve">6. Endpoint: Retrieve Score by ID</w:t>
      </w:r>
    </w:p>
    <w:p>
      <w:pPr>
        <w:spacing w:after="70"/>
      </w:pPr>
      <w:r>
        <w:rPr>
          <w:rFonts w:ascii="Calibri" w:cs="Calibri" w:eastAsia="Calibri" w:hAnsi="Calibri"/>
          <w:color w:val="33404A"/>
          <w:sz w:val="21"/>
          <w:szCs w:val="21"/>
        </w:rPr>
        <w:t xml:space="preserve">7. Endpoint: Feedback / Outcome Reporting</w:t>
      </w:r>
    </w:p>
    <w:p>
      <w:pPr>
        <w:spacing w:after="70"/>
      </w:pPr>
      <w:r>
        <w:rPr>
          <w:rFonts w:ascii="Calibri" w:cs="Calibri" w:eastAsia="Calibri" w:hAnsi="Calibri"/>
          <w:color w:val="33404A"/>
          <w:sz w:val="21"/>
          <w:szCs w:val="21"/>
        </w:rPr>
        <w:t xml:space="preserve">8. Endpoint: Health Check</w:t>
      </w:r>
    </w:p>
    <w:p>
      <w:pPr>
        <w:spacing w:after="70"/>
      </w:pPr>
      <w:r>
        <w:rPr>
          <w:rFonts w:ascii="Calibri" w:cs="Calibri" w:eastAsia="Calibri" w:hAnsi="Calibri"/>
          <w:color w:val="33404A"/>
          <w:sz w:val="21"/>
          <w:szCs w:val="21"/>
        </w:rPr>
        <w:t xml:space="preserve">9. Request &amp; Response Schemas</w:t>
      </w:r>
    </w:p>
    <w:p>
      <w:pPr>
        <w:spacing w:after="70"/>
      </w:pPr>
      <w:r>
        <w:rPr>
          <w:rFonts w:ascii="Calibri" w:cs="Calibri" w:eastAsia="Calibri" w:hAnsi="Calibri"/>
          <w:color w:val="33404A"/>
          <w:sz w:val="21"/>
          <w:szCs w:val="21"/>
        </w:rPr>
        <w:t xml:space="preserve">10. Error Codes &amp; Handling</w:t>
      </w:r>
    </w:p>
    <w:p>
      <w:pPr>
        <w:spacing w:after="70"/>
      </w:pPr>
      <w:r>
        <w:rPr>
          <w:rFonts w:ascii="Calibri" w:cs="Calibri" w:eastAsia="Calibri" w:hAnsi="Calibri"/>
          <w:color w:val="33404A"/>
          <w:sz w:val="21"/>
          <w:szCs w:val="21"/>
        </w:rPr>
        <w:t xml:space="preserve">11. Webhooks</w:t>
      </w:r>
    </w:p>
    <w:p>
      <w:pPr>
        <w:spacing w:after="70"/>
      </w:pPr>
      <w:r>
        <w:rPr>
          <w:rFonts w:ascii="Calibri" w:cs="Calibri" w:eastAsia="Calibri" w:hAnsi="Calibri"/>
          <w:color w:val="33404A"/>
          <w:sz w:val="21"/>
          <w:szCs w:val="21"/>
        </w:rPr>
        <w:t xml:space="preserve">12. Latency, Caching &amp; Performance</w:t>
      </w:r>
    </w:p>
    <w:p>
      <w:pPr>
        <w:spacing w:after="70"/>
      </w:pPr>
      <w:r>
        <w:rPr>
          <w:rFonts w:ascii="Calibri" w:cs="Calibri" w:eastAsia="Calibri" w:hAnsi="Calibri"/>
          <w:color w:val="33404A"/>
          <w:sz w:val="21"/>
          <w:szCs w:val="21"/>
        </w:rPr>
        <w:t xml:space="preserve">13. Versioning &amp; Changelog</w:t>
      </w:r>
    </w:p>
    <w:p>
      <w:pPr>
        <w:spacing w:after="70"/>
      </w:pPr>
      <w:r>
        <w:rPr>
          <w:rFonts w:ascii="Calibri" w:cs="Calibri" w:eastAsia="Calibri" w:hAnsi="Calibri"/>
          <w:color w:val="33404A"/>
          <w:sz w:val="21"/>
          <w:szCs w:val="21"/>
        </w:rPr>
        <w:t xml:space="preserve">14. Security &amp; Compliance</w:t>
      </w:r>
    </w:p>
    <w:p>
      <w:pPr>
        <w:spacing w:after="70"/>
      </w:pPr>
      <w:r>
        <w:rPr>
          <w:rFonts w:ascii="Calibri" w:cs="Calibri" w:eastAsia="Calibri" w:hAnsi="Calibri"/>
          <w:color w:val="33404A"/>
          <w:sz w:val="21"/>
          <w:szCs w:val="21"/>
        </w:rPr>
        <w:t xml:space="preserve">15. Code Examples</w:t>
      </w:r>
    </w:p>
    <w:p>
      <w:pPr>
        <w:spacing w:after="70"/>
      </w:pPr>
      <w:r>
        <w:rPr>
          <w:rFonts w:ascii="Calibri" w:cs="Calibri" w:eastAsia="Calibri" w:hAnsi="Calibri"/>
          <w:color w:val="33404A"/>
          <w:sz w:val="21"/>
          <w:szCs w:val="21"/>
        </w:rPr>
        <w:t xml:space="preserve">16. Support &amp; Escalation</w:t>
      </w:r>
    </w:p>
    <w:p>
      <w:r>
        <w:br w:type="page"/>
      </w:r>
    </w:p>
    <w:p>
      <w:pPr>
        <w:pStyle w:val="Heading1"/>
        <w:pBdr>
          <w:bottom w:val="single" w:color="00A8A8" w:sz="12" w:space="4"/>
        </w:pBdr>
        <w:spacing w:after="160" w:before="360"/>
      </w:pPr>
      <w:r>
        <w:rPr>
          <w:rFonts w:ascii="Calibri" w:cs="Calibri" w:eastAsia="Calibri" w:hAnsi="Calibri"/>
          <w:b/>
          <w:bCs/>
          <w:color w:val="0B1F3A"/>
          <w:sz w:val="30"/>
          <w:szCs w:val="30"/>
        </w:rPr>
        <w:t xml:space="preserve">1. Overview</w:t>
      </w:r>
    </w:p>
    <w:p>
      <w:pPr>
        <w:spacing w:after="160" w:line="300"/>
        <w:jc w:val="both"/>
      </w:pPr>
      <w:r>
        <w:rPr>
          <w:rFonts w:ascii="Calibri" w:cs="Calibri" w:eastAsia="Calibri" w:hAnsi="Calibri"/>
          <w:color w:val="33404A"/>
          <w:sz w:val="20"/>
          <w:szCs w:val="20"/>
        </w:rPr>
        <w:t xml:space="preserve">The Fraud Detection Scoring API exposes the hybrid XGBoost + Deep Feed-Forward ensemble model built for the client's loan origination system (LOS). It is designed to be called synchronously, in the critical path of a loan application, and returns a calibrated fraud probability, a risk band, and per-decision feature attribution within a strict sub-100ms latency budget.</w:t>
      </w:r>
    </w:p>
    <w:p>
      <w:pPr>
        <w:spacing w:after="160" w:line="300"/>
        <w:jc w:val="both"/>
      </w:pPr>
      <w:r>
        <w:rPr>
          <w:rFonts w:ascii="Calibri" w:cs="Calibri" w:eastAsia="Calibri" w:hAnsi="Calibri"/>
          <w:color w:val="33404A"/>
          <w:sz w:val="20"/>
          <w:szCs w:val="20"/>
        </w:rPr>
        <w:t xml:space="preserve">The API is intentionally narrow in scope: it does one thing — score a loan application for fraud risk — and does it with the reliability, latency, and auditability a live lending workflow requires. It is fronted by a FastAPI gateway, backed by a Redis feature cache, and runs on auto-scaling infrastructure on AWS (see the accompanying Deployment_Architecture document for infrastructure detail).</w:t>
      </w:r>
    </w:p>
    <w:p>
      <w:pPr>
        <w:spacing w:after="80" w:before="180"/>
      </w:pPr>
      <w:r>
        <w:rPr>
          <w:rFonts w:ascii="Calibri" w:cs="Calibri" w:eastAsia="Calibri" w:hAnsi="Calibri"/>
          <w:b/>
          <w:bCs/>
          <w:color w:val="1F4E79"/>
          <w:sz w:val="21"/>
          <w:szCs w:val="21"/>
        </w:rPr>
        <w:t xml:space="preserve">1.1 Design Principles</w:t>
      </w:r>
    </w:p>
    <w:p>
      <w:pPr>
        <w:pStyle w:val="ListParagraph"/>
        <w:numPr>
          <w:ilvl w:val="0"/>
          <w:numId w:val="1"/>
        </w:numPr>
        <w:spacing w:after="100" w:line="280"/>
      </w:pPr>
      <w:r>
        <w:rPr>
          <w:rFonts w:ascii="Calibri" w:cs="Calibri" w:eastAsia="Calibri" w:hAnsi="Calibri"/>
          <w:b/>
          <w:bCs/>
          <w:color w:val="33404A"/>
          <w:sz w:val="20"/>
          <w:szCs w:val="20"/>
        </w:rPr>
        <w:t xml:space="preserve">Explainability by default — </w:t>
      </w:r>
      <w:r>
        <w:rPr>
          <w:rFonts w:ascii="Calibri" w:cs="Calibri" w:eastAsia="Calibri" w:hAnsi="Calibri"/>
          <w:color w:val="33404A"/>
          <w:sz w:val="20"/>
          <w:szCs w:val="20"/>
        </w:rPr>
        <w:t xml:space="preserve">Every response includes an explanation. </w:t>
      </w:r>
    </w:p>
    <w:p>
      <w:pPr>
        <w:pStyle w:val="ListParagraph"/>
        <w:numPr>
          <w:ilvl w:val="0"/>
          <w:numId w:val="1"/>
        </w:numPr>
        <w:spacing w:after="100" w:line="280"/>
      </w:pPr>
      <w:r>
        <w:rPr>
          <w:rFonts w:ascii="Calibri" w:cs="Calibri" w:eastAsia="Calibri" w:hAnsi="Calibri"/>
          <w:b/>
          <w:bCs/>
          <w:color w:val="33404A"/>
          <w:sz w:val="20"/>
          <w:szCs w:val="20"/>
        </w:rPr>
        <w:t xml:space="preserve">Latency as a first-class constraint — </w:t>
      </w:r>
      <w:r>
        <w:rPr>
          <w:rFonts w:ascii="Calibri" w:cs="Calibri" w:eastAsia="Calibri" w:hAnsi="Calibri"/>
          <w:color w:val="33404A"/>
          <w:sz w:val="20"/>
          <w:szCs w:val="20"/>
        </w:rPr>
        <w:t xml:space="preserve">no request should ever exceed the agreed P95 budget under normal load. </w:t>
      </w:r>
    </w:p>
    <w:p>
      <w:pPr>
        <w:pStyle w:val="ListParagraph"/>
        <w:numPr>
          <w:ilvl w:val="0"/>
          <w:numId w:val="1"/>
        </w:numPr>
        <w:spacing w:after="100" w:line="280"/>
      </w:pPr>
      <w:r>
        <w:rPr>
          <w:rFonts w:ascii="Calibri" w:cs="Calibri" w:eastAsia="Calibri" w:hAnsi="Calibri"/>
          <w:b/>
          <w:bCs/>
          <w:color w:val="33404A"/>
          <w:sz w:val="20"/>
          <w:szCs w:val="20"/>
        </w:rPr>
        <w:t xml:space="preserve">Backwards-compatible versioning — </w:t>
      </w:r>
      <w:r>
        <w:rPr>
          <w:rFonts w:ascii="Calibri" w:cs="Calibri" w:eastAsia="Calibri" w:hAnsi="Calibri"/>
          <w:color w:val="33404A"/>
          <w:sz w:val="20"/>
          <w:szCs w:val="20"/>
        </w:rPr>
        <w:t xml:space="preserve">clients are versioned explicitly and old versions are supported through a deprecation window. </w:t>
      </w:r>
    </w:p>
    <w:p>
      <w:pPr>
        <w:pStyle w:val="ListParagraph"/>
        <w:numPr>
          <w:ilvl w:val="0"/>
          <w:numId w:val="1"/>
        </w:numPr>
        <w:spacing w:after="100" w:line="280"/>
      </w:pPr>
      <w:r>
        <w:rPr>
          <w:rFonts w:ascii="Calibri" w:cs="Calibri" w:eastAsia="Calibri" w:hAnsi="Calibri"/>
          <w:b/>
          <w:bCs/>
          <w:color w:val="33404A"/>
          <w:sz w:val="20"/>
          <w:szCs w:val="20"/>
        </w:rPr>
        <w:t xml:space="preserve">Defense in depth — </w:t>
      </w:r>
      <w:r>
        <w:rPr>
          <w:rFonts w:ascii="Calibri" w:cs="Calibri" w:eastAsia="Calibri" w:hAnsi="Calibri"/>
          <w:color w:val="33404A"/>
          <w:sz w:val="20"/>
          <w:szCs w:val="20"/>
        </w:rPr>
        <w:t xml:space="preserve">HMAC request signing and mutual TLS prevent request tampering and replay. </w:t>
      </w:r>
    </w:p>
    <w:p>
      <w:pPr>
        <w:pStyle w:val="Heading1"/>
        <w:pBdr>
          <w:bottom w:val="single" w:color="00A8A8" w:sz="12" w:space="4"/>
        </w:pBdr>
        <w:spacing w:after="160" w:before="360"/>
      </w:pPr>
      <w:r>
        <w:rPr>
          <w:rFonts w:ascii="Calibri" w:cs="Calibri" w:eastAsia="Calibri" w:hAnsi="Calibri"/>
          <w:b/>
          <w:bCs/>
          <w:color w:val="0B1F3A"/>
          <w:sz w:val="30"/>
          <w:szCs w:val="30"/>
        </w:rPr>
        <w:t xml:space="preserve">2. Authentication</w:t>
      </w:r>
    </w:p>
    <w:p>
      <w:pPr>
        <w:spacing w:after="160" w:line="300"/>
        <w:jc w:val="both"/>
      </w:pPr>
      <w:r>
        <w:rPr>
          <w:rFonts w:ascii="Calibri" w:cs="Calibri" w:eastAsia="Calibri" w:hAnsi="Calibri"/>
          <w:color w:val="33404A"/>
          <w:sz w:val="20"/>
          <w:szCs w:val="20"/>
        </w:rPr>
        <w:t xml:space="preserve">All requests must be authenticated using OAuth 2.0 client-credentials grant. Clients exchange a client ID and secret for a short-lived bearer token, which is then presented on every scoring request. In addition, every request body must be signed with HMAC-SHA256 using a per-client signing key, to guard against tampering and replay even if a bearer token is intercepted.</w:t>
      </w:r>
    </w:p>
    <w:p>
      <w:pPr>
        <w:spacing w:after="80" w:before="180"/>
      </w:pPr>
      <w:r>
        <w:rPr>
          <w:rFonts w:ascii="Calibri" w:cs="Calibri" w:eastAsia="Calibri" w:hAnsi="Calibri"/>
          <w:b/>
          <w:bCs/>
          <w:color w:val="1F4E79"/>
          <w:sz w:val="21"/>
          <w:szCs w:val="21"/>
        </w:rPr>
        <w:t xml:space="preserve">2.1 Obtaining a Token</w:t>
      </w:r>
    </w:p>
    <w:tbl>
      <w:tblPr>
        <w:tblW w:type="pct" w:w="100%"/>
        <w:tblBorders>
          <w:top w:val="single" w:color="0F1720" w:sz="4"/>
          <w:left w:val="single" w:color="0F1720" w:sz="4"/>
          <w:bottom w:val="single" w:color="0F1720" w:sz="4"/>
          <w:right w:val="single" w:color="0F1720" w:sz="4"/>
          <w:insideH w:val="single" w:color="auto" w:sz="4"/>
          <w:insideV w:val="single" w:color="auto" w:sz="4"/>
        </w:tblBorders>
      </w:tblPr>
      <w:tblGrid>
        <w:gridCol w:w="100"/>
      </w:tblGrid>
      <w:tr>
        <w:tc>
          <w:tcPr>
            <w:shd w:fill="1E2A38" w:color="auto" w:val="clear"/>
            <w:tcMar>
              <w:top w:type="dxa" w:w="160"/>
              <w:left w:type="dxa" w:w="200"/>
              <w:bottom w:type="dxa" w:w="160"/>
              <w:right w:type="dxa" w:w="200"/>
            </w:tcMar>
          </w:tcPr>
          <w:p>
            <w:pPr>
              <w:spacing w:after="20"/>
            </w:pPr>
            <w:r>
              <w:rPr>
                <w:rFonts w:ascii="Consolas" w:cs="Consolas" w:eastAsia="Consolas" w:hAnsi="Consolas"/>
                <w:color w:val="D8E8EA"/>
                <w:sz w:val="18"/>
                <w:szCs w:val="18"/>
              </w:rPr>
              <w:t xml:space="preserve">POST /oauth/token HTTP/1.1</w:t>
            </w:r>
          </w:p>
          <w:p>
            <w:pPr>
              <w:spacing w:after="20"/>
            </w:pPr>
            <w:r>
              <w:rPr>
                <w:rFonts w:ascii="Consolas" w:cs="Consolas" w:eastAsia="Consolas" w:hAnsi="Consolas"/>
                <w:color w:val="D8E8EA"/>
                <w:sz w:val="18"/>
                <w:szCs w:val="18"/>
              </w:rPr>
              <w:t xml:space="preserve">Host: fraud-api.client-lending.electrosoft.io</w:t>
            </w:r>
          </w:p>
          <w:p>
            <w:pPr>
              <w:spacing w:after="20"/>
            </w:pPr>
            <w:r>
              <w:rPr>
                <w:rFonts w:ascii="Consolas" w:cs="Consolas" w:eastAsia="Consolas" w:hAnsi="Consolas"/>
                <w:color w:val="D8E8EA"/>
                <w:sz w:val="18"/>
                <w:szCs w:val="18"/>
              </w:rPr>
              <w:t xml:space="preserve">Content-Type: application/x-www-form-urlencoded</w:t>
            </w:r>
          </w:p>
          <w:p>
            <w:pPr>
              <w:spacing w:after="20"/>
            </w:pPr>
            <w:r>
              <w:rPr>
                <w:rFonts w:ascii="Consolas" w:cs="Consolas" w:eastAsia="Consolas" w:hAnsi="Consolas"/>
                <w:color w:val="D8E8EA"/>
                <w:sz w:val="18"/>
                <w:szCs w:val="18"/>
              </w:rPr>
              <w:t xml:space="preserve"> </w:t>
            </w:r>
          </w:p>
          <w:p>
            <w:pPr>
              <w:spacing w:after="20"/>
            </w:pPr>
            <w:r>
              <w:rPr>
                <w:rFonts w:ascii="Consolas" w:cs="Consolas" w:eastAsia="Consolas" w:hAnsi="Consolas"/>
                <w:color w:val="D8E8EA"/>
                <w:sz w:val="18"/>
                <w:szCs w:val="18"/>
              </w:rPr>
              <w:t xml:space="preserve">grant_type=client_credentials</w:t>
            </w:r>
          </w:p>
          <w:p>
            <w:pPr>
              <w:spacing w:after="20"/>
            </w:pPr>
            <w:r>
              <w:rPr>
                <w:rFonts w:ascii="Consolas" w:cs="Consolas" w:eastAsia="Consolas" w:hAnsi="Consolas"/>
                <w:color w:val="D8E8EA"/>
                <w:sz w:val="18"/>
                <w:szCs w:val="18"/>
              </w:rPr>
              <w:t xml:space="preserve">&amp;client_id=los_prod_7f21</w:t>
            </w:r>
          </w:p>
          <w:p>
            <w:pPr>
              <w:spacing w:after="20"/>
            </w:pPr>
            <w:r>
              <w:rPr>
                <w:rFonts w:ascii="Consolas" w:cs="Consolas" w:eastAsia="Consolas" w:hAnsi="Consolas"/>
                <w:color w:val="D8E8EA"/>
                <w:sz w:val="18"/>
                <w:szCs w:val="18"/>
              </w:rPr>
              <w:t xml:space="preserve">&amp;client_secret={CLIENT_SECRET}</w:t>
            </w:r>
          </w:p>
          <w:p>
            <w:pPr>
              <w:spacing w:after="20"/>
            </w:pPr>
            <w:r>
              <w:rPr>
                <w:rFonts w:ascii="Consolas" w:cs="Consolas" w:eastAsia="Consolas" w:hAnsi="Consolas"/>
                <w:color w:val="D8E8EA"/>
                <w:sz w:val="18"/>
                <w:szCs w:val="18"/>
              </w:rPr>
              <w:t xml:space="preserve">&amp;scope=fraud:score fraud:read</w:t>
            </w:r>
          </w:p>
        </w:tc>
      </w:tr>
    </w:tbl>
    <w:tbl>
      <w:tblPr>
        <w:tblW w:type="pct" w:w="100%"/>
        <w:tblBorders>
          <w:top w:val="single" w:color="0F1720" w:sz="4"/>
          <w:left w:val="single" w:color="0F1720" w:sz="4"/>
          <w:bottom w:val="single" w:color="0F1720" w:sz="4"/>
          <w:right w:val="single" w:color="0F1720" w:sz="4"/>
          <w:insideH w:val="single" w:color="auto" w:sz="4"/>
          <w:insideV w:val="single" w:color="auto" w:sz="4"/>
        </w:tblBorders>
      </w:tblPr>
      <w:tblGrid>
        <w:gridCol w:w="100"/>
      </w:tblGrid>
      <w:tr>
        <w:tc>
          <w:tcPr>
            <w:shd w:fill="1E2A38" w:color="auto" w:val="clear"/>
            <w:tcMar>
              <w:top w:type="dxa" w:w="160"/>
              <w:left w:type="dxa" w:w="200"/>
              <w:bottom w:type="dxa" w:w="160"/>
              <w:right w:type="dxa" w:w="200"/>
            </w:tcMar>
          </w:tcPr>
          <w:p>
            <w:pPr>
              <w:spacing w:after="20"/>
            </w:pPr>
            <w:r>
              <w:rPr>
                <w:rFonts w:ascii="Consolas" w:cs="Consolas" w:eastAsia="Consolas" w:hAnsi="Consolas"/>
                <w:color w:val="D8E8EA"/>
                <w:sz w:val="18"/>
                <w:szCs w:val="18"/>
              </w:rPr>
              <w:t xml:space="preserve">HTTP/1.1 200 OK</w:t>
            </w:r>
          </w:p>
          <w:p>
            <w:pPr>
              <w:spacing w:after="20"/>
            </w:pPr>
            <w:r>
              <w:rPr>
                <w:rFonts w:ascii="Consolas" w:cs="Consolas" w:eastAsia="Consolas" w:hAnsi="Consolas"/>
                <w:color w:val="D8E8EA"/>
                <w:sz w:val="18"/>
                <w:szCs w:val="18"/>
              </w:rPr>
              <w:t xml:space="preserve">Content-Type: application/json</w:t>
            </w:r>
          </w:p>
          <w:p>
            <w:pPr>
              <w:spacing w:after="20"/>
            </w:pPr>
            <w:r>
              <w:rPr>
                <w:rFonts w:ascii="Consolas" w:cs="Consolas" w:eastAsia="Consolas" w:hAnsi="Consolas"/>
                <w:color w:val="D8E8EA"/>
                <w:sz w:val="18"/>
                <w:szCs w:val="18"/>
              </w:rPr>
              <w:t xml:space="preserve"> </w:t>
            </w:r>
          </w:p>
          <w:p>
            <w:pPr>
              <w:spacing w:after="20"/>
            </w:pPr>
            <w:r>
              <w:rPr>
                <w:rFonts w:ascii="Consolas" w:cs="Consolas" w:eastAsia="Consolas" w:hAnsi="Consolas"/>
                <w:color w:val="D8E8EA"/>
                <w:sz w:val="18"/>
                <w:szCs w:val="18"/>
              </w:rPr>
              <w:t xml:space="preserve">{</w:t>
            </w:r>
          </w:p>
          <w:p>
            <w:pPr>
              <w:spacing w:after="20"/>
            </w:pPr>
            <w:r>
              <w:rPr>
                <w:rFonts w:ascii="Consolas" w:cs="Consolas" w:eastAsia="Consolas" w:hAnsi="Consolas"/>
                <w:color w:val="D8E8EA"/>
                <w:sz w:val="18"/>
                <w:szCs w:val="18"/>
              </w:rPr>
              <w:t xml:space="preserve">  "access_token": "eyJhbGciOiJSUzI1NiIsInR5cCI6IkpXVCJ9...",</w:t>
            </w:r>
          </w:p>
          <w:p>
            <w:pPr>
              <w:spacing w:after="20"/>
            </w:pPr>
            <w:r>
              <w:rPr>
                <w:rFonts w:ascii="Consolas" w:cs="Consolas" w:eastAsia="Consolas" w:hAnsi="Consolas"/>
                <w:color w:val="D8E8EA"/>
                <w:sz w:val="18"/>
                <w:szCs w:val="18"/>
              </w:rPr>
              <w:t xml:space="preserve">  "token_type": "Bearer",</w:t>
            </w:r>
          </w:p>
          <w:p>
            <w:pPr>
              <w:spacing w:after="20"/>
            </w:pPr>
            <w:r>
              <w:rPr>
                <w:rFonts w:ascii="Consolas" w:cs="Consolas" w:eastAsia="Consolas" w:hAnsi="Consolas"/>
                <w:color w:val="D8E8EA"/>
                <w:sz w:val="18"/>
                <w:szCs w:val="18"/>
              </w:rPr>
              <w:t xml:space="preserve">  "expires_in": 900,</w:t>
            </w:r>
          </w:p>
          <w:p>
            <w:pPr>
              <w:spacing w:after="20"/>
            </w:pPr>
            <w:r>
              <w:rPr>
                <w:rFonts w:ascii="Consolas" w:cs="Consolas" w:eastAsia="Consolas" w:hAnsi="Consolas"/>
                <w:color w:val="D8E8EA"/>
                <w:sz w:val="18"/>
                <w:szCs w:val="18"/>
              </w:rPr>
              <w:t xml:space="preserve">  "scope": "fraud:score fraud:read"</w:t>
            </w:r>
          </w:p>
          <w:p>
            <w:pPr>
              <w:spacing w:after="20"/>
            </w:pPr>
            <w:r>
              <w:rPr>
                <w:rFonts w:ascii="Consolas" w:cs="Consolas" w:eastAsia="Consolas" w:hAnsi="Consolas"/>
                <w:color w:val="D8E8EA"/>
                <w:sz w:val="18"/>
                <w:szCs w:val="18"/>
              </w:rPr>
              <w:t xml:space="preserve">}</w:t>
            </w:r>
          </w:p>
        </w:tc>
      </w:tr>
    </w:tbl>
    <w:p>
      <w:pPr>
        <w:spacing w:after="120"/>
      </w:pPr>
    </w:p>
    <w:tbl>
      <w:tblPr>
        <w:tblW w:type="pct" w:w="100%"/>
        <w:tblBorders>
          <w:top w:val="single" w:color="E7F1F7" w:sz="4"/>
          <w:left w:val="single" w:color="1F4E79" w:sz="24"/>
          <w:bottom w:val="single" w:color="E7F1F7" w:sz="4"/>
          <w:right w:val="single" w:color="E7F1F7" w:sz="4"/>
          <w:insideH w:val="single" w:color="auto" w:sz="4"/>
          <w:insideV w:val="single" w:color="auto" w:sz="4"/>
        </w:tblBorders>
      </w:tblPr>
      <w:tblGrid>
        <w:gridCol w:w="100"/>
      </w:tblGrid>
      <w:tr>
        <w:tc>
          <w:tcPr>
            <w:shd w:fill="E7F1F7" w:color="auto" w:val="clear"/>
            <w:tcMar>
              <w:top w:type="dxa" w:w="130"/>
              <w:left w:type="dxa" w:w="180"/>
              <w:bottom w:type="dxa" w:w="130"/>
              <w:right w:type="dxa" w:w="180"/>
            </w:tcMar>
          </w:tcPr>
          <w:p>
            <w:pPr>
              <w:spacing w:after="40"/>
            </w:pPr>
            <w:r>
              <w:rPr>
                <w:rFonts w:ascii="Calibri" w:cs="Calibri" w:eastAsia="Calibri" w:hAnsi="Calibri"/>
                <w:b/>
                <w:bCs/>
                <w:color w:val="1F4E79"/>
                <w:sz w:val="19"/>
                <w:szCs w:val="19"/>
              </w:rPr>
              <w:t xml:space="preserve">Token lifetime</w:t>
            </w:r>
          </w:p>
          <w:p>
            <w:r>
              <w:rPr>
                <w:rFonts w:ascii="Calibri" w:cs="Calibri" w:eastAsia="Calibri" w:hAnsi="Calibri"/>
                <w:color w:val="33404A"/>
                <w:sz w:val="19"/>
                <w:szCs w:val="19"/>
              </w:rPr>
              <w:t xml:space="preserve">Access tokens expire after 900 seconds (15 minutes). Clients should cache and refresh tokens proactively rather than requesting a new token per API call.</w:t>
            </w:r>
          </w:p>
        </w:tc>
      </w:tr>
    </w:tbl>
    <w:p>
      <w:pPr>
        <w:spacing w:after="120"/>
      </w:pPr>
    </w:p>
    <w:p>
      <w:pPr>
        <w:spacing w:after="80" w:before="180"/>
      </w:pPr>
      <w:r>
        <w:rPr>
          <w:rFonts w:ascii="Calibri" w:cs="Calibri" w:eastAsia="Calibri" w:hAnsi="Calibri"/>
          <w:b/>
          <w:bCs/>
          <w:color w:val="1F4E79"/>
          <w:sz w:val="21"/>
          <w:szCs w:val="21"/>
        </w:rPr>
        <w:t xml:space="preserve">2.2 Request Signing (HMAC-SHA256)</w:t>
      </w:r>
    </w:p>
    <w:p>
      <w:pPr>
        <w:spacing w:after="160" w:line="300"/>
        <w:jc w:val="both"/>
      </w:pPr>
      <w:r>
        <w:rPr>
          <w:rFonts w:ascii="Calibri" w:cs="Calibri" w:eastAsia="Calibri" w:hAnsi="Calibri"/>
          <w:color w:val="33404A"/>
          <w:sz w:val="20"/>
          <w:szCs w:val="20"/>
        </w:rPr>
        <w:t xml:space="preserve">Every scoring request must include an X-Signature header computed as HMAC-SHA256 over the concatenation of the HTTP method, request path, unix timestamp, and raw request body, using the client's signing key. The gateway rejects requests where the timestamp is more than 60 seconds old, to prevent replay attacks.</w:t>
      </w:r>
    </w:p>
    <w:tbl>
      <w:tblPr>
        <w:tblW w:type="pct" w:w="100%"/>
        <w:tblBorders>
          <w:top w:val="single" w:color="0F1720" w:sz="4"/>
          <w:left w:val="single" w:color="0F1720" w:sz="4"/>
          <w:bottom w:val="single" w:color="0F1720" w:sz="4"/>
          <w:right w:val="single" w:color="0F1720" w:sz="4"/>
          <w:insideH w:val="single" w:color="auto" w:sz="4"/>
          <w:insideV w:val="single" w:color="auto" w:sz="4"/>
        </w:tblBorders>
      </w:tblPr>
      <w:tblGrid>
        <w:gridCol w:w="100"/>
      </w:tblGrid>
      <w:tr>
        <w:tc>
          <w:tcPr>
            <w:shd w:fill="1E2A38" w:color="auto" w:val="clear"/>
            <w:tcMar>
              <w:top w:type="dxa" w:w="160"/>
              <w:left w:type="dxa" w:w="200"/>
              <w:bottom w:type="dxa" w:w="160"/>
              <w:right w:type="dxa" w:w="200"/>
            </w:tcMar>
          </w:tcPr>
          <w:p>
            <w:pPr>
              <w:spacing w:after="20"/>
            </w:pPr>
            <w:r>
              <w:rPr>
                <w:rFonts w:ascii="Consolas" w:cs="Consolas" w:eastAsia="Consolas" w:hAnsi="Consolas"/>
                <w:color w:val="D8E8EA"/>
                <w:sz w:val="18"/>
                <w:szCs w:val="18"/>
              </w:rPr>
              <w:t xml:space="preserve">signature_base = METHOD + "\n" + PATH + "\n" + TIMESTAMP + "\n" + BODY</w:t>
            </w:r>
          </w:p>
          <w:p>
            <w:pPr>
              <w:spacing w:after="20"/>
            </w:pPr>
            <w:r>
              <w:rPr>
                <w:rFonts w:ascii="Consolas" w:cs="Consolas" w:eastAsia="Consolas" w:hAnsi="Consolas"/>
                <w:color w:val="D8E8EA"/>
                <w:sz w:val="18"/>
                <w:szCs w:val="18"/>
              </w:rPr>
              <w:t xml:space="preserve">signature = hex(HMAC_SHA256(signing_key, signature_base))</w:t>
            </w:r>
          </w:p>
          <w:p>
            <w:pPr>
              <w:spacing w:after="20"/>
            </w:pPr>
            <w:r>
              <w:rPr>
                <w:rFonts w:ascii="Consolas" w:cs="Consolas" w:eastAsia="Consolas" w:hAnsi="Consolas"/>
                <w:color w:val="D8E8EA"/>
                <w:sz w:val="18"/>
                <w:szCs w:val="18"/>
              </w:rPr>
              <w:t xml:space="preserve"> </w:t>
            </w:r>
          </w:p>
          <w:p>
            <w:pPr>
              <w:spacing w:after="20"/>
            </w:pPr>
            <w:r>
              <w:rPr>
                <w:rFonts w:ascii="Consolas" w:cs="Consolas" w:eastAsia="Consolas" w:hAnsi="Consolas"/>
                <w:color w:val="D8E8EA"/>
                <w:sz w:val="18"/>
                <w:szCs w:val="18"/>
              </w:rPr>
              <w:t xml:space="preserve">Headers:</w:t>
            </w:r>
          </w:p>
          <w:p>
            <w:pPr>
              <w:spacing w:after="20"/>
            </w:pPr>
            <w:r>
              <w:rPr>
                <w:rFonts w:ascii="Consolas" w:cs="Consolas" w:eastAsia="Consolas" w:hAnsi="Consolas"/>
                <w:color w:val="D8E8EA"/>
                <w:sz w:val="18"/>
                <w:szCs w:val="18"/>
              </w:rPr>
              <w:t xml:space="preserve">  Authorization: Bearer {access_token}</w:t>
            </w:r>
          </w:p>
          <w:p>
            <w:pPr>
              <w:spacing w:after="20"/>
            </w:pPr>
            <w:r>
              <w:rPr>
                <w:rFonts w:ascii="Consolas" w:cs="Consolas" w:eastAsia="Consolas" w:hAnsi="Consolas"/>
                <w:color w:val="D8E8EA"/>
                <w:sz w:val="18"/>
                <w:szCs w:val="18"/>
              </w:rPr>
              <w:t xml:space="preserve">  X-Client-Id: los_prod_7f21</w:t>
            </w:r>
          </w:p>
          <w:p>
            <w:pPr>
              <w:spacing w:after="20"/>
            </w:pPr>
            <w:r>
              <w:rPr>
                <w:rFonts w:ascii="Consolas" w:cs="Consolas" w:eastAsia="Consolas" w:hAnsi="Consolas"/>
                <w:color w:val="D8E8EA"/>
                <w:sz w:val="18"/>
                <w:szCs w:val="18"/>
              </w:rPr>
              <w:t xml:space="preserve">  X-Timestamp: 1741200export00</w:t>
            </w:r>
          </w:p>
          <w:p>
            <w:pPr>
              <w:spacing w:after="20"/>
            </w:pPr>
            <w:r>
              <w:rPr>
                <w:rFonts w:ascii="Consolas" w:cs="Consolas" w:eastAsia="Consolas" w:hAnsi="Consolas"/>
                <w:color w:val="D8E8EA"/>
                <w:sz w:val="18"/>
                <w:szCs w:val="18"/>
              </w:rPr>
              <w:t xml:space="preserve">  X-Signature: 3f2b9a...</w:t>
            </w:r>
          </w:p>
        </w:tc>
      </w:tr>
    </w:tbl>
    <w:p>
      <w:pPr>
        <w:pStyle w:val="Heading1"/>
        <w:pBdr>
          <w:bottom w:val="single" w:color="00A8A8" w:sz="12" w:space="4"/>
        </w:pBdr>
        <w:spacing w:after="160" w:before="360"/>
      </w:pPr>
      <w:r>
        <w:rPr>
          <w:rFonts w:ascii="Calibri" w:cs="Calibri" w:eastAsia="Calibri" w:hAnsi="Calibri"/>
          <w:b/>
          <w:bCs/>
          <w:color w:val="0B1F3A"/>
          <w:sz w:val="30"/>
          <w:szCs w:val="30"/>
        </w:rPr>
        <w:t xml:space="preserve">3. Base URL &amp; Environments</w:t>
      </w:r>
    </w:p>
    <w:tbl>
      <w:tblPr>
        <w:tblW w:type="pct" w:w="100%"/>
        <w:tblBorders>
          <w:top w:val="single" w:color="D6DEE5" w:sz="4"/>
          <w:left w:val="single" w:color="D6DEE5" w:sz="4"/>
          <w:bottom w:val="single" w:color="D6DEE5" w:sz="4"/>
          <w:right w:val="single" w:color="D6DEE5" w:sz="4"/>
          <w:insideH w:val="single" w:color="D6DEE5" w:sz="4"/>
          <w:insideV w:val="single" w:color="D6DEE5" w:sz="4"/>
        </w:tblBorders>
      </w:tblPr>
      <w:tblGrid>
        <w:gridCol w:w="1800"/>
        <w:gridCol w:w="4600"/>
        <w:gridCol w:w="3100"/>
      </w:tblGrid>
      <w:tr>
        <w:trPr>
          <w:tblHeader/>
        </w:trPr>
        <w:tc>
          <w:tcPr>
            <w:tcW w:type="dxa" w:w="1800"/>
            <w:shd w:fill="1F4E79" w:color="auto" w:val="clear"/>
            <w:tcMar>
              <w:top w:type="dxa" w:w="90"/>
              <w:left w:type="dxa" w:w="110"/>
              <w:bottom w:type="dxa" w:w="90"/>
              <w:right w:type="dxa" w:w="110"/>
            </w:tcMar>
            <w:vAlign w:val="center"/>
          </w:tcPr>
          <w:p>
            <w:r>
              <w:rPr>
                <w:rFonts w:ascii="Calibri" w:cs="Calibri" w:eastAsia="Calibri" w:hAnsi="Calibri"/>
                <w:b/>
                <w:bCs/>
                <w:color w:val="FFFFFF"/>
                <w:sz w:val="18"/>
                <w:szCs w:val="18"/>
              </w:rPr>
              <w:t xml:space="preserve">Environment</w:t>
            </w:r>
          </w:p>
        </w:tc>
        <w:tc>
          <w:tcPr>
            <w:tcW w:type="dxa" w:w="4600"/>
            <w:shd w:fill="1F4E79" w:color="auto" w:val="clear"/>
            <w:tcMar>
              <w:top w:type="dxa" w:w="90"/>
              <w:left w:type="dxa" w:w="110"/>
              <w:bottom w:type="dxa" w:w="90"/>
              <w:right w:type="dxa" w:w="110"/>
            </w:tcMar>
            <w:vAlign w:val="center"/>
          </w:tcPr>
          <w:p>
            <w:r>
              <w:rPr>
                <w:rFonts w:ascii="Calibri" w:cs="Calibri" w:eastAsia="Calibri" w:hAnsi="Calibri"/>
                <w:b/>
                <w:bCs/>
                <w:color w:val="FFFFFF"/>
                <w:sz w:val="18"/>
                <w:szCs w:val="18"/>
              </w:rPr>
              <w:t xml:space="preserve">Base URL</w:t>
            </w:r>
          </w:p>
        </w:tc>
        <w:tc>
          <w:tcPr>
            <w:tcW w:type="dxa" w:w="3100"/>
            <w:shd w:fill="1F4E79" w:color="auto" w:val="clear"/>
            <w:tcMar>
              <w:top w:type="dxa" w:w="90"/>
              <w:left w:type="dxa" w:w="110"/>
              <w:bottom w:type="dxa" w:w="90"/>
              <w:right w:type="dxa" w:w="110"/>
            </w:tcMar>
            <w:vAlign w:val="center"/>
          </w:tcPr>
          <w:p>
            <w:r>
              <w:rPr>
                <w:rFonts w:ascii="Calibri" w:cs="Calibri" w:eastAsia="Calibri" w:hAnsi="Calibri"/>
                <w:b/>
                <w:bCs/>
                <w:color w:val="FFFFFF"/>
                <w:sz w:val="18"/>
                <w:szCs w:val="18"/>
              </w:rPr>
              <w:t xml:space="preserve">Notes</w:t>
            </w:r>
          </w:p>
        </w:tc>
      </w:tr>
      <w:tr>
        <w:tc>
          <w:tcPr>
            <w:tcW w:type="dxa" w:w="18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Production</w:t>
            </w:r>
          </w:p>
        </w:tc>
        <w:tc>
          <w:tcPr>
            <w:tcW w:type="dxa" w:w="46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https://fraud-api.client-lending.electrosoft.io/v1</w:t>
            </w:r>
          </w:p>
        </w:tc>
        <w:tc>
          <w:tcPr>
            <w:tcW w:type="dxa" w:w="31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Live traffic; strict rate limits and SLAs apply</w:t>
            </w:r>
          </w:p>
        </w:tc>
      </w:tr>
      <w:tr>
        <w:tc>
          <w:tcPr>
            <w:tcW w:type="dxa" w:w="1800"/>
            <w:shd w:fill="F2F6F9"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Staging</w:t>
            </w:r>
          </w:p>
        </w:tc>
        <w:tc>
          <w:tcPr>
            <w:tcW w:type="dxa" w:w="4600"/>
            <w:shd w:fill="F2F6F9"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https://fraud-api-staging.client-lending.electrosoft.io/v1</w:t>
            </w:r>
          </w:p>
        </w:tc>
        <w:tc>
          <w:tcPr>
            <w:tcW w:type="dxa" w:w="3100"/>
            <w:shd w:fill="F2F6F9"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Mirrors production topology; synthetic data only</w:t>
            </w:r>
          </w:p>
        </w:tc>
      </w:tr>
      <w:tr>
        <w:tc>
          <w:tcPr>
            <w:tcW w:type="dxa" w:w="18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Sandbox</w:t>
            </w:r>
          </w:p>
        </w:tc>
        <w:tc>
          <w:tcPr>
            <w:tcW w:type="dxa" w:w="46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https://fraud-api-sandbox.electrosoft.io/v1</w:t>
            </w:r>
          </w:p>
        </w:tc>
        <w:tc>
          <w:tcPr>
            <w:tcW w:type="dxa" w:w="31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Public test credentials; fixed example responses</w:t>
            </w:r>
          </w:p>
        </w:tc>
      </w:tr>
    </w:tbl>
    <w:p>
      <w:pPr>
        <w:pStyle w:val="Heading1"/>
        <w:pBdr>
          <w:bottom w:val="single" w:color="00A8A8" w:sz="12" w:space="4"/>
        </w:pBdr>
        <w:spacing w:after="160" w:before="360"/>
      </w:pPr>
      <w:r>
        <w:rPr>
          <w:rFonts w:ascii="Calibri" w:cs="Calibri" w:eastAsia="Calibri" w:hAnsi="Calibri"/>
          <w:b/>
          <w:bCs/>
          <w:color w:val="0B1F3A"/>
          <w:sz w:val="30"/>
          <w:szCs w:val="30"/>
        </w:rPr>
        <w:t xml:space="preserve">4. Rate Limiting</w:t>
      </w:r>
    </w:p>
    <w:p>
      <w:pPr>
        <w:spacing w:after="160" w:line="300"/>
        <w:jc w:val="both"/>
      </w:pPr>
      <w:r>
        <w:rPr>
          <w:rFonts w:ascii="Calibri" w:cs="Calibri" w:eastAsia="Calibri" w:hAnsi="Calibri"/>
          <w:color w:val="33404A"/>
          <w:sz w:val="20"/>
          <w:szCs w:val="20"/>
        </w:rPr>
        <w:t xml:space="preserve">Rate limits are enforced per client_id using a sliding-window counter at the API gateway. Limits are set well above the client's observed peak of 50,000+ applications/day to avoid impacting normal operation, while still protecting the service from runaway retry storms.</w:t>
      </w:r>
    </w:p>
    <w:tbl>
      <w:tblPr>
        <w:tblW w:type="pct" w:w="100%"/>
        <w:tblBorders>
          <w:top w:val="single" w:color="D6DEE5" w:sz="4"/>
          <w:left w:val="single" w:color="D6DEE5" w:sz="4"/>
          <w:bottom w:val="single" w:color="D6DEE5" w:sz="4"/>
          <w:right w:val="single" w:color="D6DEE5" w:sz="4"/>
          <w:insideH w:val="single" w:color="D6DEE5" w:sz="4"/>
          <w:insideV w:val="single" w:color="D6DEE5" w:sz="4"/>
        </w:tblBorders>
      </w:tblPr>
      <w:tblGrid>
        <w:gridCol w:w="2600"/>
        <w:gridCol w:w="4200"/>
        <w:gridCol w:w="2700"/>
      </w:tblGrid>
      <w:tr>
        <w:trPr>
          <w:tblHeader/>
        </w:trPr>
        <w:tc>
          <w:tcPr>
            <w:tcW w:type="dxa" w:w="2600"/>
            <w:shd w:fill="1F4E79" w:color="auto" w:val="clear"/>
            <w:tcMar>
              <w:top w:type="dxa" w:w="90"/>
              <w:left w:type="dxa" w:w="110"/>
              <w:bottom w:type="dxa" w:w="90"/>
              <w:right w:type="dxa" w:w="110"/>
            </w:tcMar>
            <w:vAlign w:val="center"/>
          </w:tcPr>
          <w:p>
            <w:r>
              <w:rPr>
                <w:rFonts w:ascii="Calibri" w:cs="Calibri" w:eastAsia="Calibri" w:hAnsi="Calibri"/>
                <w:b/>
                <w:bCs/>
                <w:color w:val="FFFFFF"/>
                <w:sz w:val="18"/>
                <w:szCs w:val="18"/>
              </w:rPr>
              <w:t xml:space="preserve">Endpoint group</w:t>
            </w:r>
          </w:p>
        </w:tc>
        <w:tc>
          <w:tcPr>
            <w:tcW w:type="dxa" w:w="4200"/>
            <w:shd w:fill="1F4E79" w:color="auto" w:val="clear"/>
            <w:tcMar>
              <w:top w:type="dxa" w:w="90"/>
              <w:left w:type="dxa" w:w="110"/>
              <w:bottom w:type="dxa" w:w="90"/>
              <w:right w:type="dxa" w:w="110"/>
            </w:tcMar>
            <w:vAlign w:val="center"/>
          </w:tcPr>
          <w:p>
            <w:r>
              <w:rPr>
                <w:rFonts w:ascii="Calibri" w:cs="Calibri" w:eastAsia="Calibri" w:hAnsi="Calibri"/>
                <w:b/>
                <w:bCs/>
                <w:color w:val="FFFFFF"/>
                <w:sz w:val="18"/>
                <w:szCs w:val="18"/>
              </w:rPr>
              <w:t xml:space="preserve">Limit</w:t>
            </w:r>
          </w:p>
        </w:tc>
        <w:tc>
          <w:tcPr>
            <w:tcW w:type="dxa" w:w="2700"/>
            <w:shd w:fill="1F4E79" w:color="auto" w:val="clear"/>
            <w:tcMar>
              <w:top w:type="dxa" w:w="90"/>
              <w:left w:type="dxa" w:w="110"/>
              <w:bottom w:type="dxa" w:w="90"/>
              <w:right w:type="dxa" w:w="110"/>
            </w:tcMar>
            <w:vAlign w:val="center"/>
          </w:tcPr>
          <w:p>
            <w:r>
              <w:rPr>
                <w:rFonts w:ascii="Calibri" w:cs="Calibri" w:eastAsia="Calibri" w:hAnsi="Calibri"/>
                <w:b/>
                <w:bCs/>
                <w:color w:val="FFFFFF"/>
                <w:sz w:val="18"/>
                <w:szCs w:val="18"/>
              </w:rPr>
              <w:t xml:space="preserve">Window</w:t>
            </w:r>
          </w:p>
        </w:tc>
      </w:tr>
      <w:tr>
        <w:tc>
          <w:tcPr>
            <w:tcW w:type="dxa" w:w="26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POST /score</w:t>
            </w:r>
          </w:p>
        </w:tc>
        <w:tc>
          <w:tcPr>
            <w:tcW w:type="dxa" w:w="42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120 requests / second, burst 200</w:t>
            </w:r>
          </w:p>
        </w:tc>
        <w:tc>
          <w:tcPr>
            <w:tcW w:type="dxa" w:w="27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Sliding 1-second window</w:t>
            </w:r>
          </w:p>
        </w:tc>
      </w:tr>
      <w:tr>
        <w:tc>
          <w:tcPr>
            <w:tcW w:type="dxa" w:w="2600"/>
            <w:shd w:fill="F2F6F9"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GET /score/{id}</w:t>
            </w:r>
          </w:p>
        </w:tc>
        <w:tc>
          <w:tcPr>
            <w:tcW w:type="dxa" w:w="4200"/>
            <w:shd w:fill="F2F6F9"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60 requests / second</w:t>
            </w:r>
          </w:p>
        </w:tc>
        <w:tc>
          <w:tcPr>
            <w:tcW w:type="dxa" w:w="2700"/>
            <w:shd w:fill="F2F6F9"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Sliding 1-second window</w:t>
            </w:r>
          </w:p>
        </w:tc>
      </w:tr>
      <w:tr>
        <w:tc>
          <w:tcPr>
            <w:tcW w:type="dxa" w:w="26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POST /feedback</w:t>
            </w:r>
          </w:p>
        </w:tc>
        <w:tc>
          <w:tcPr>
            <w:tcW w:type="dxa" w:w="42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30 requests / second</w:t>
            </w:r>
          </w:p>
        </w:tc>
        <w:tc>
          <w:tcPr>
            <w:tcW w:type="dxa" w:w="27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Sliding 1-second window</w:t>
            </w:r>
          </w:p>
        </w:tc>
      </w:tr>
      <w:tr>
        <w:tc>
          <w:tcPr>
            <w:tcW w:type="dxa" w:w="2600"/>
            <w:shd w:fill="F2F6F9"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OAuth token endpoint</w:t>
            </w:r>
          </w:p>
        </w:tc>
        <w:tc>
          <w:tcPr>
            <w:tcW w:type="dxa" w:w="4200"/>
            <w:shd w:fill="F2F6F9"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10 requests / minute per client</w:t>
            </w:r>
          </w:p>
        </w:tc>
        <w:tc>
          <w:tcPr>
            <w:tcW w:type="dxa" w:w="2700"/>
            <w:shd w:fill="F2F6F9"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Fixed 1-minute window</w:t>
            </w:r>
          </w:p>
        </w:tc>
      </w:tr>
    </w:tbl>
    <w:p>
      <w:pPr>
        <w:spacing w:after="120"/>
      </w:pPr>
    </w:p>
    <w:p>
      <w:pPr>
        <w:spacing w:after="160" w:line="300"/>
        <w:jc w:val="both"/>
      </w:pPr>
      <w:r>
        <w:rPr>
          <w:rFonts w:ascii="Calibri" w:cs="Calibri" w:eastAsia="Calibri" w:hAnsi="Calibri"/>
          <w:color w:val="33404A"/>
          <w:sz w:val="20"/>
          <w:szCs w:val="20"/>
        </w:rPr>
        <w:t xml:space="preserve">Responses that exceed the limit return HTTP 429 with a Retry-After header indicating the number of seconds to wait before retrying. Current usage against the limit is always reported on successful responses via the X-RateLimit-Remaining and X-RateLimit-Reset headers.</w:t>
      </w:r>
    </w:p>
    <w:p>
      <w:r>
        <w:br w:type="page"/>
      </w:r>
    </w:p>
    <w:p>
      <w:pPr>
        <w:pStyle w:val="Heading1"/>
        <w:pBdr>
          <w:bottom w:val="single" w:color="00A8A8" w:sz="12" w:space="4"/>
        </w:pBdr>
        <w:spacing w:after="160" w:before="360"/>
      </w:pPr>
      <w:r>
        <w:rPr>
          <w:rFonts w:ascii="Calibri" w:cs="Calibri" w:eastAsia="Calibri" w:hAnsi="Calibri"/>
          <w:b/>
          <w:bCs/>
          <w:color w:val="0B1F3A"/>
          <w:sz w:val="30"/>
          <w:szCs w:val="30"/>
        </w:rPr>
        <w:t xml:space="preserve">5. Endpoint: Score Application</w:t>
      </w:r>
    </w:p>
    <w:p>
      <w:pPr>
        <w:spacing w:after="160" w:line="300"/>
        <w:jc w:val="both"/>
      </w:pPr>
      <w:r>
        <w:rPr>
          <w:rFonts w:ascii="Calibri" w:cs="Calibri" w:eastAsia="Calibri" w:hAnsi="Calibri"/>
          <w:color w:val="33404A"/>
          <w:sz w:val="20"/>
          <w:szCs w:val="20"/>
        </w:rPr>
        <w:t xml:space="preserve">The primary endpoint. Submits a loan application's features for real-time fraud scoring and returns a calibrated probability, risk band, and explanation.</w:t>
      </w:r>
    </w:p>
    <w:tbl>
      <w:tblPr>
        <w:tblW w:type="pct" w:w="100%"/>
        <w:tblBorders>
          <w:top w:val="single" w:color="D6DEE5" w:sz="4"/>
          <w:left w:val="single" w:color="D6DEE5" w:sz="4"/>
          <w:bottom w:val="single" w:color="D6DEE5" w:sz="4"/>
          <w:right w:val="single" w:color="D6DEE5" w:sz="4"/>
          <w:insideH w:val="single" w:color="auto" w:sz="4"/>
          <w:insideV w:val="single" w:color="auto" w:sz="4"/>
        </w:tblBorders>
      </w:tblPr>
      <w:tblGrid>
        <w:gridCol w:w="100"/>
        <w:gridCol w:w="100"/>
      </w:tblGrid>
      <w:tr>
        <w:tc>
          <w:tcPr>
            <w:tcW w:type="dxa" w:w="1100"/>
            <w:shd w:fill="1F4E79" w:color="auto" w:val="clear"/>
            <w:tcMar>
              <w:top w:type="dxa" w:w="70"/>
              <w:left w:type="dxa" w:w="120"/>
              <w:bottom w:type="dxa" w:w="70"/>
              <w:right w:type="dxa" w:w="120"/>
            </w:tcMar>
            <w:vAlign w:val="center"/>
          </w:tcPr>
          <w:p>
            <w:pPr>
              <w:jc w:val="center"/>
            </w:pPr>
            <w:r>
              <w:rPr>
                <w:rFonts w:ascii="Consolas" w:cs="Consolas" w:eastAsia="Consolas" w:hAnsi="Consolas"/>
                <w:b/>
                <w:bCs/>
                <w:color w:val="FFFFFF"/>
                <w:sz w:val="18"/>
                <w:szCs w:val="18"/>
              </w:rPr>
              <w:t xml:space="preserve">POST</w:t>
            </w:r>
          </w:p>
        </w:tc>
        <w:tc>
          <w:tcPr>
            <w:shd w:fill="0F1E33" w:color="auto" w:val="clear"/>
            <w:tcMar>
              <w:top w:type="dxa" w:w="70"/>
              <w:left w:type="dxa" w:w="160"/>
              <w:bottom w:type="dxa" w:w="70"/>
              <w:right w:type="dxa" w:w="120"/>
            </w:tcMar>
            <w:vAlign w:val="center"/>
          </w:tcPr>
          <w:p>
            <w:r>
              <w:rPr>
                <w:rFonts w:ascii="Consolas" w:cs="Consolas" w:eastAsia="Consolas" w:hAnsi="Consolas"/>
                <w:b/>
                <w:bCs/>
                <w:color w:val="FFFFFF"/>
                <w:sz w:val="20"/>
                <w:szCs w:val="20"/>
              </w:rPr>
              <w:t xml:space="preserve">/v1/score</w:t>
            </w:r>
          </w:p>
        </w:tc>
      </w:tr>
    </w:tbl>
    <w:p>
      <w:pPr>
        <w:spacing w:after="120"/>
      </w:pPr>
    </w:p>
    <w:p>
      <w:pPr>
        <w:spacing w:after="80" w:before="180"/>
      </w:pPr>
      <w:r>
        <w:rPr>
          <w:rFonts w:ascii="Calibri" w:cs="Calibri" w:eastAsia="Calibri" w:hAnsi="Calibri"/>
          <w:b/>
          <w:bCs/>
          <w:color w:val="1F4E79"/>
          <w:sz w:val="21"/>
          <w:szCs w:val="21"/>
        </w:rPr>
        <w:t xml:space="preserve">5.1 Request Body</w:t>
      </w:r>
    </w:p>
    <w:tbl>
      <w:tblPr>
        <w:tblW w:type="pct" w:w="100%"/>
        <w:tblBorders>
          <w:top w:val="single" w:color="0F1720" w:sz="4"/>
          <w:left w:val="single" w:color="0F1720" w:sz="4"/>
          <w:bottom w:val="single" w:color="0F1720" w:sz="4"/>
          <w:right w:val="single" w:color="0F1720" w:sz="4"/>
          <w:insideH w:val="single" w:color="auto" w:sz="4"/>
          <w:insideV w:val="single" w:color="auto" w:sz="4"/>
        </w:tblBorders>
      </w:tblPr>
      <w:tblGrid>
        <w:gridCol w:w="100"/>
      </w:tblGrid>
      <w:tr>
        <w:tc>
          <w:tcPr>
            <w:shd w:fill="1E2A38" w:color="auto" w:val="clear"/>
            <w:tcMar>
              <w:top w:type="dxa" w:w="160"/>
              <w:left w:type="dxa" w:w="200"/>
              <w:bottom w:type="dxa" w:w="160"/>
              <w:right w:type="dxa" w:w="200"/>
            </w:tcMar>
          </w:tcPr>
          <w:p>
            <w:pPr>
              <w:spacing w:after="20"/>
            </w:pPr>
            <w:r>
              <w:rPr>
                <w:rFonts w:ascii="Consolas" w:cs="Consolas" w:eastAsia="Consolas" w:hAnsi="Consolas"/>
                <w:color w:val="D8E8EA"/>
                <w:sz w:val="18"/>
                <w:szCs w:val="18"/>
              </w:rPr>
              <w:t xml:space="preserve">{</w:t>
            </w:r>
          </w:p>
          <w:p>
            <w:pPr>
              <w:spacing w:after="20"/>
            </w:pPr>
            <w:r>
              <w:rPr>
                <w:rFonts w:ascii="Consolas" w:cs="Consolas" w:eastAsia="Consolas" w:hAnsi="Consolas"/>
                <w:color w:val="D8E8EA"/>
                <w:sz w:val="18"/>
                <w:szCs w:val="18"/>
              </w:rPr>
              <w:t xml:space="preserve">  "application_id": "app_8f13c9",</w:t>
            </w:r>
          </w:p>
          <w:p>
            <w:pPr>
              <w:spacing w:after="20"/>
            </w:pPr>
            <w:r>
              <w:rPr>
                <w:rFonts w:ascii="Consolas" w:cs="Consolas" w:eastAsia="Consolas" w:hAnsi="Consolas"/>
                <w:color w:val="D8E8EA"/>
                <w:sz w:val="18"/>
                <w:szCs w:val="18"/>
              </w:rPr>
              <w:t xml:space="preserve">  "applicant": {</w:t>
            </w:r>
          </w:p>
          <w:p>
            <w:pPr>
              <w:spacing w:after="20"/>
            </w:pPr>
            <w:r>
              <w:rPr>
                <w:rFonts w:ascii="Consolas" w:cs="Consolas" w:eastAsia="Consolas" w:hAnsi="Consolas"/>
                <w:color w:val="D8E8EA"/>
                <w:sz w:val="18"/>
                <w:szCs w:val="18"/>
              </w:rPr>
              <w:t xml:space="preserve">    "customer_id": "cust_44210",</w:t>
            </w:r>
          </w:p>
          <w:p>
            <w:pPr>
              <w:spacing w:after="20"/>
            </w:pPr>
            <w:r>
              <w:rPr>
                <w:rFonts w:ascii="Consolas" w:cs="Consolas" w:eastAsia="Consolas" w:hAnsi="Consolas"/>
                <w:color w:val="D8E8EA"/>
                <w:sz w:val="18"/>
                <w:szCs w:val="18"/>
              </w:rPr>
              <w:t xml:space="preserve">    "device_id": "dev_a91fbe",</w:t>
            </w:r>
          </w:p>
          <w:p>
            <w:pPr>
              <w:spacing w:after="20"/>
            </w:pPr>
            <w:r>
              <w:rPr>
                <w:rFonts w:ascii="Consolas" w:cs="Consolas" w:eastAsia="Consolas" w:hAnsi="Consolas"/>
                <w:color w:val="D8E8EA"/>
                <w:sz w:val="18"/>
                <w:szCs w:val="18"/>
              </w:rPr>
              <w:t xml:space="preserve">    "ip_address": "197.210.XX.XX",</w:t>
            </w:r>
          </w:p>
          <w:p>
            <w:pPr>
              <w:spacing w:after="20"/>
            </w:pPr>
            <w:r>
              <w:rPr>
                <w:rFonts w:ascii="Consolas" w:cs="Consolas" w:eastAsia="Consolas" w:hAnsi="Consolas"/>
                <w:color w:val="D8E8EA"/>
                <w:sz w:val="18"/>
                <w:szCs w:val="18"/>
              </w:rPr>
              <w:t xml:space="preserve">    "channel": "mobile_app"</w:t>
            </w:r>
          </w:p>
          <w:p>
            <w:pPr>
              <w:spacing w:after="20"/>
            </w:pPr>
            <w:r>
              <w:rPr>
                <w:rFonts w:ascii="Consolas" w:cs="Consolas" w:eastAsia="Consolas" w:hAnsi="Consolas"/>
                <w:color w:val="D8E8EA"/>
                <w:sz w:val="18"/>
                <w:szCs w:val="18"/>
              </w:rPr>
              <w:t xml:space="preserve">  },</w:t>
            </w:r>
          </w:p>
          <w:p>
            <w:pPr>
              <w:spacing w:after="20"/>
            </w:pPr>
            <w:r>
              <w:rPr>
                <w:rFonts w:ascii="Consolas" w:cs="Consolas" w:eastAsia="Consolas" w:hAnsi="Consolas"/>
                <w:color w:val="D8E8EA"/>
                <w:sz w:val="18"/>
                <w:szCs w:val="18"/>
              </w:rPr>
              <w:t xml:space="preserve">  "loan": {</w:t>
            </w:r>
          </w:p>
          <w:p>
            <w:pPr>
              <w:spacing w:after="20"/>
            </w:pPr>
            <w:r>
              <w:rPr>
                <w:rFonts w:ascii="Consolas" w:cs="Consolas" w:eastAsia="Consolas" w:hAnsi="Consolas"/>
                <w:color w:val="D8E8EA"/>
                <w:sz w:val="18"/>
                <w:szCs w:val="18"/>
              </w:rPr>
              <w:t xml:space="preserve">    "amount": 150000,</w:t>
            </w:r>
          </w:p>
          <w:p>
            <w:pPr>
              <w:spacing w:after="20"/>
            </w:pPr>
            <w:r>
              <w:rPr>
                <w:rFonts w:ascii="Consolas" w:cs="Consolas" w:eastAsia="Consolas" w:hAnsi="Consolas"/>
                <w:color w:val="D8E8EA"/>
                <w:sz w:val="18"/>
                <w:szCs w:val="18"/>
              </w:rPr>
              <w:t xml:space="preserve">    "currency": "NGN",</w:t>
            </w:r>
          </w:p>
          <w:p>
            <w:pPr>
              <w:spacing w:after="20"/>
            </w:pPr>
            <w:r>
              <w:rPr>
                <w:rFonts w:ascii="Consolas" w:cs="Consolas" w:eastAsia="Consolas" w:hAnsi="Consolas"/>
                <w:color w:val="D8E8EA"/>
                <w:sz w:val="18"/>
                <w:szCs w:val="18"/>
              </w:rPr>
              <w:t xml:space="preserve">    "term_days": 30,</w:t>
            </w:r>
          </w:p>
          <w:p>
            <w:pPr>
              <w:spacing w:after="20"/>
            </w:pPr>
            <w:r>
              <w:rPr>
                <w:rFonts w:ascii="Consolas" w:cs="Consolas" w:eastAsia="Consolas" w:hAnsi="Consolas"/>
                <w:color w:val="D8E8EA"/>
                <w:sz w:val="18"/>
                <w:szCs w:val="18"/>
              </w:rPr>
              <w:t xml:space="preserve">    "product_code": "STL-30"</w:t>
            </w:r>
          </w:p>
          <w:p>
            <w:pPr>
              <w:spacing w:after="20"/>
            </w:pPr>
            <w:r>
              <w:rPr>
                <w:rFonts w:ascii="Consolas" w:cs="Consolas" w:eastAsia="Consolas" w:hAnsi="Consolas"/>
                <w:color w:val="D8E8EA"/>
                <w:sz w:val="18"/>
                <w:szCs w:val="18"/>
              </w:rPr>
              <w:t xml:space="preserve">  },</w:t>
            </w:r>
          </w:p>
          <w:p>
            <w:pPr>
              <w:spacing w:after="20"/>
            </w:pPr>
            <w:r>
              <w:rPr>
                <w:rFonts w:ascii="Consolas" w:cs="Consolas" w:eastAsia="Consolas" w:hAnsi="Consolas"/>
                <w:color w:val="D8E8EA"/>
                <w:sz w:val="18"/>
                <w:szCs w:val="18"/>
              </w:rPr>
              <w:t xml:space="preserve">  "features_override": {},</w:t>
            </w:r>
          </w:p>
          <w:p>
            <w:pPr>
              <w:spacing w:after="20"/>
            </w:pPr>
            <w:r>
              <w:rPr>
                <w:rFonts w:ascii="Consolas" w:cs="Consolas" w:eastAsia="Consolas" w:hAnsi="Consolas"/>
                <w:color w:val="D8E8EA"/>
                <w:sz w:val="18"/>
                <w:szCs w:val="18"/>
              </w:rPr>
              <w:t xml:space="preserve">  "idempotency_key": "b4b0c3e1-9e2a-4b7a-8c3e-2a1e9f0a7d5c"</w:t>
            </w:r>
          </w:p>
          <w:p>
            <w:pPr>
              <w:spacing w:after="20"/>
            </w:pPr>
            <w:r>
              <w:rPr>
                <w:rFonts w:ascii="Consolas" w:cs="Consolas" w:eastAsia="Consolas" w:hAnsi="Consolas"/>
                <w:color w:val="D8E8EA"/>
                <w:sz w:val="18"/>
                <w:szCs w:val="18"/>
              </w:rPr>
              <w:t xml:space="preserve">}</w:t>
            </w:r>
          </w:p>
        </w:tc>
      </w:tr>
    </w:tbl>
    <w:p>
      <w:pPr>
        <w:spacing w:after="80" w:before="180"/>
      </w:pPr>
      <w:r>
        <w:rPr>
          <w:rFonts w:ascii="Calibri" w:cs="Calibri" w:eastAsia="Calibri" w:hAnsi="Calibri"/>
          <w:b/>
          <w:bCs/>
          <w:color w:val="1F4E79"/>
          <w:sz w:val="21"/>
          <w:szCs w:val="21"/>
        </w:rPr>
        <w:t xml:space="preserve">5.2 Response Body — 200 OK</w:t>
      </w:r>
    </w:p>
    <w:tbl>
      <w:tblPr>
        <w:tblW w:type="pct" w:w="100%"/>
        <w:tblBorders>
          <w:top w:val="single" w:color="0F1720" w:sz="4"/>
          <w:left w:val="single" w:color="0F1720" w:sz="4"/>
          <w:bottom w:val="single" w:color="0F1720" w:sz="4"/>
          <w:right w:val="single" w:color="0F1720" w:sz="4"/>
          <w:insideH w:val="single" w:color="auto" w:sz="4"/>
          <w:insideV w:val="single" w:color="auto" w:sz="4"/>
        </w:tblBorders>
      </w:tblPr>
      <w:tblGrid>
        <w:gridCol w:w="100"/>
      </w:tblGrid>
      <w:tr>
        <w:tc>
          <w:tcPr>
            <w:shd w:fill="1E2A38" w:color="auto" w:val="clear"/>
            <w:tcMar>
              <w:top w:type="dxa" w:w="160"/>
              <w:left w:type="dxa" w:w="200"/>
              <w:bottom w:type="dxa" w:w="160"/>
              <w:right w:type="dxa" w:w="200"/>
            </w:tcMar>
          </w:tcPr>
          <w:p>
            <w:pPr>
              <w:spacing w:after="20"/>
            </w:pPr>
            <w:r>
              <w:rPr>
                <w:rFonts w:ascii="Consolas" w:cs="Consolas" w:eastAsia="Consolas" w:hAnsi="Consolas"/>
                <w:color w:val="D8E8EA"/>
                <w:sz w:val="18"/>
                <w:szCs w:val="18"/>
              </w:rPr>
              <w:t xml:space="preserve">{</w:t>
            </w:r>
          </w:p>
          <w:p>
            <w:pPr>
              <w:spacing w:after="20"/>
            </w:pPr>
            <w:r>
              <w:rPr>
                <w:rFonts w:ascii="Consolas" w:cs="Consolas" w:eastAsia="Consolas" w:hAnsi="Consolas"/>
                <w:color w:val="D8E8EA"/>
                <w:sz w:val="18"/>
                <w:szCs w:val="18"/>
              </w:rPr>
              <w:t xml:space="preserve">  "application_id": "app_8f13c9",</w:t>
            </w:r>
          </w:p>
          <w:p>
            <w:pPr>
              <w:spacing w:after="20"/>
            </w:pPr>
            <w:r>
              <w:rPr>
                <w:rFonts w:ascii="Consolas" w:cs="Consolas" w:eastAsia="Consolas" w:hAnsi="Consolas"/>
                <w:color w:val="D8E8EA"/>
                <w:sz w:val="18"/>
                <w:szCs w:val="18"/>
              </w:rPr>
              <w:t xml:space="preserve">  "score": 0.0421,</w:t>
            </w:r>
          </w:p>
          <w:p>
            <w:pPr>
              <w:spacing w:after="20"/>
            </w:pPr>
            <w:r>
              <w:rPr>
                <w:rFonts w:ascii="Consolas" w:cs="Consolas" w:eastAsia="Consolas" w:hAnsi="Consolas"/>
                <w:color w:val="D8E8EA"/>
                <w:sz w:val="18"/>
                <w:szCs w:val="18"/>
              </w:rPr>
              <w:t xml:space="preserve">  "risk_band": "AUTO_APPROVE",</w:t>
            </w:r>
          </w:p>
          <w:p>
            <w:pPr>
              <w:spacing w:after="20"/>
            </w:pPr>
            <w:r>
              <w:rPr>
                <w:rFonts w:ascii="Consolas" w:cs="Consolas" w:eastAsia="Consolas" w:hAnsi="Consolas"/>
                <w:color w:val="D8E8EA"/>
                <w:sz w:val="18"/>
                <w:szCs w:val="18"/>
              </w:rPr>
              <w:t xml:space="preserve">  "model_version": "ensemble-2026.03.1",</w:t>
            </w:r>
          </w:p>
          <w:p>
            <w:pPr>
              <w:spacing w:after="20"/>
            </w:pPr>
            <w:r>
              <w:rPr>
                <w:rFonts w:ascii="Consolas" w:cs="Consolas" w:eastAsia="Consolas" w:hAnsi="Consolas"/>
                <w:color w:val="D8E8EA"/>
                <w:sz w:val="18"/>
                <w:szCs w:val="18"/>
              </w:rPr>
              <w:t xml:space="preserve">  "latency_ms": 74,</w:t>
            </w:r>
          </w:p>
          <w:p>
            <w:pPr>
              <w:spacing w:after="20"/>
            </w:pPr>
            <w:r>
              <w:rPr>
                <w:rFonts w:ascii="Consolas" w:cs="Consolas" w:eastAsia="Consolas" w:hAnsi="Consolas"/>
                <w:color w:val="D8E8EA"/>
                <w:sz w:val="18"/>
                <w:szCs w:val="18"/>
              </w:rPr>
              <w:t xml:space="preserve">  "explanation": {</w:t>
            </w:r>
          </w:p>
          <w:p>
            <w:pPr>
              <w:spacing w:after="20"/>
            </w:pPr>
            <w:r>
              <w:rPr>
                <w:rFonts w:ascii="Consolas" w:cs="Consolas" w:eastAsia="Consolas" w:hAnsi="Consolas"/>
                <w:color w:val="D8E8EA"/>
                <w:sz w:val="18"/>
                <w:szCs w:val="18"/>
              </w:rPr>
              <w:t xml:space="preserve">    "top_features": [</w:t>
            </w:r>
          </w:p>
          <w:p>
            <w:pPr>
              <w:spacing w:after="20"/>
            </w:pPr>
            <w:r>
              <w:rPr>
                <w:rFonts w:ascii="Consolas" w:cs="Consolas" w:eastAsia="Consolas" w:hAnsi="Consolas"/>
                <w:color w:val="D8E8EA"/>
                <w:sz w:val="18"/>
                <w:szCs w:val="18"/>
              </w:rPr>
              <w:t xml:space="preserve">      { "feature": "device_velocity_24h", "contribution": -0.021 },</w:t>
            </w:r>
          </w:p>
          <w:p>
            <w:pPr>
              <w:spacing w:after="20"/>
            </w:pPr>
            <w:r>
              <w:rPr>
                <w:rFonts w:ascii="Consolas" w:cs="Consolas" w:eastAsia="Consolas" w:hAnsi="Consolas"/>
                <w:color w:val="D8E8EA"/>
                <w:sz w:val="18"/>
                <w:szCs w:val="18"/>
              </w:rPr>
              <w:t xml:space="preserve">      { "feature": "repayment_history_score", "contribution": -0.018 },</w:t>
            </w:r>
          </w:p>
          <w:p>
            <w:pPr>
              <w:spacing w:after="20"/>
            </w:pPr>
            <w:r>
              <w:rPr>
                <w:rFonts w:ascii="Consolas" w:cs="Consolas" w:eastAsia="Consolas" w:hAnsi="Consolas"/>
                <w:color w:val="D8E8EA"/>
                <w:sz w:val="18"/>
                <w:szCs w:val="18"/>
              </w:rPr>
              <w:t xml:space="preserve">      { "feature": "income_to_loan_ratio", "contribution": -0.009 }</w:t>
            </w:r>
          </w:p>
          <w:p>
            <w:pPr>
              <w:spacing w:after="20"/>
            </w:pPr>
            <w:r>
              <w:rPr>
                <w:rFonts w:ascii="Consolas" w:cs="Consolas" w:eastAsia="Consolas" w:hAnsi="Consolas"/>
                <w:color w:val="D8E8EA"/>
                <w:sz w:val="18"/>
                <w:szCs w:val="18"/>
              </w:rPr>
              <w:t xml:space="preserve">    ]</w:t>
            </w:r>
          </w:p>
          <w:p>
            <w:pPr>
              <w:spacing w:after="20"/>
            </w:pPr>
            <w:r>
              <w:rPr>
                <w:rFonts w:ascii="Consolas" w:cs="Consolas" w:eastAsia="Consolas" w:hAnsi="Consolas"/>
                <w:color w:val="D8E8EA"/>
                <w:sz w:val="18"/>
                <w:szCs w:val="18"/>
              </w:rPr>
              <w:t xml:space="preserve">  },</w:t>
            </w:r>
          </w:p>
          <w:p>
            <w:pPr>
              <w:spacing w:after="20"/>
            </w:pPr>
            <w:r>
              <w:rPr>
                <w:rFonts w:ascii="Consolas" w:cs="Consolas" w:eastAsia="Consolas" w:hAnsi="Consolas"/>
                <w:color w:val="D8E8EA"/>
                <w:sz w:val="18"/>
                <w:szCs w:val="18"/>
              </w:rPr>
              <w:t xml:space="preserve">  "scored_at": "2026-03-14T10:22:31Z"</w:t>
            </w:r>
          </w:p>
          <w:p>
            <w:pPr>
              <w:spacing w:after="20"/>
            </w:pPr>
            <w:r>
              <w:rPr>
                <w:rFonts w:ascii="Consolas" w:cs="Consolas" w:eastAsia="Consolas" w:hAnsi="Consolas"/>
                <w:color w:val="D8E8EA"/>
                <w:sz w:val="18"/>
                <w:szCs w:val="18"/>
              </w:rPr>
              <w:t xml:space="preserve">}</w:t>
            </w:r>
          </w:p>
        </w:tc>
      </w:tr>
    </w:tbl>
    <w:p>
      <w:pPr>
        <w:spacing w:after="120"/>
      </w:pPr>
    </w:p>
    <w:tbl>
      <w:tblPr>
        <w:tblW w:type="pct" w:w="100%"/>
        <w:tblBorders>
          <w:top w:val="single" w:color="FCF1DD" w:sz="4"/>
          <w:left w:val="single" w:color="B7791F" w:sz="24"/>
          <w:bottom w:val="single" w:color="FCF1DD" w:sz="4"/>
          <w:right w:val="single" w:color="FCF1DD" w:sz="4"/>
          <w:insideH w:val="single" w:color="auto" w:sz="4"/>
          <w:insideV w:val="single" w:color="auto" w:sz="4"/>
        </w:tblBorders>
      </w:tblPr>
      <w:tblGrid>
        <w:gridCol w:w="100"/>
      </w:tblGrid>
      <w:tr>
        <w:tc>
          <w:tcPr>
            <w:shd w:fill="FCF1DD" w:color="auto" w:val="clear"/>
            <w:tcMar>
              <w:top w:type="dxa" w:w="130"/>
              <w:left w:type="dxa" w:w="180"/>
              <w:bottom w:type="dxa" w:w="130"/>
              <w:right w:type="dxa" w:w="180"/>
            </w:tcMar>
          </w:tcPr>
          <w:p>
            <w:pPr>
              <w:spacing w:after="40"/>
            </w:pPr>
            <w:r>
              <w:rPr>
                <w:rFonts w:ascii="Calibri" w:cs="Calibri" w:eastAsia="Calibri" w:hAnsi="Calibri"/>
                <w:b/>
                <w:bCs/>
                <w:color w:val="B7791F"/>
                <w:sz w:val="19"/>
                <w:szCs w:val="19"/>
              </w:rPr>
              <w:t xml:space="preserve">Idempotency</w:t>
            </w:r>
          </w:p>
          <w:p>
            <w:r>
              <w:rPr>
                <w:rFonts w:ascii="Calibri" w:cs="Calibri" w:eastAsia="Calibri" w:hAnsi="Calibri"/>
                <w:color w:val="33404A"/>
                <w:sz w:val="19"/>
                <w:szCs w:val="19"/>
              </w:rPr>
              <w:t xml:space="preserve">Include idempotency_key on every request. If the same key is submitted twice within 24 hours, the gateway returns the original cached response instead of re-scoring, preventing duplicate charges to the client's model-invocation quota.</w:t>
            </w:r>
          </w:p>
        </w:tc>
      </w:tr>
    </w:tbl>
    <w:p>
      <w:pPr>
        <w:spacing w:after="120"/>
      </w:pPr>
    </w:p>
    <w:p>
      <w:pPr>
        <w:pStyle w:val="Heading1"/>
        <w:pBdr>
          <w:bottom w:val="single" w:color="00A8A8" w:sz="12" w:space="4"/>
        </w:pBdr>
        <w:spacing w:after="160" w:before="360"/>
      </w:pPr>
      <w:r>
        <w:rPr>
          <w:rFonts w:ascii="Calibri" w:cs="Calibri" w:eastAsia="Calibri" w:hAnsi="Calibri"/>
          <w:b/>
          <w:bCs/>
          <w:color w:val="0B1F3A"/>
          <w:sz w:val="30"/>
          <w:szCs w:val="30"/>
        </w:rPr>
        <w:t xml:space="preserve">6. Endpoint: Retrieve Score by ID</w:t>
      </w:r>
    </w:p>
    <w:p>
      <w:pPr>
        <w:spacing w:after="160" w:line="300"/>
        <w:jc w:val="both"/>
      </w:pPr>
      <w:r>
        <w:rPr>
          <w:rFonts w:ascii="Calibri" w:cs="Calibri" w:eastAsia="Calibri" w:hAnsi="Calibri"/>
          <w:color w:val="33404A"/>
          <w:sz w:val="20"/>
          <w:szCs w:val="20"/>
        </w:rPr>
        <w:t xml:space="preserve">Retrieves a previously computed score, for audit, dispute review, or asynchronous consumers that don't need the inline synchronous response.</w:t>
      </w:r>
    </w:p>
    <w:tbl>
      <w:tblPr>
        <w:tblW w:type="pct" w:w="100%"/>
        <w:tblBorders>
          <w:top w:val="single" w:color="D6DEE5" w:sz="4"/>
          <w:left w:val="single" w:color="D6DEE5" w:sz="4"/>
          <w:bottom w:val="single" w:color="D6DEE5" w:sz="4"/>
          <w:right w:val="single" w:color="D6DEE5" w:sz="4"/>
          <w:insideH w:val="single" w:color="auto" w:sz="4"/>
          <w:insideV w:val="single" w:color="auto" w:sz="4"/>
        </w:tblBorders>
      </w:tblPr>
      <w:tblGrid>
        <w:gridCol w:w="100"/>
        <w:gridCol w:w="100"/>
      </w:tblGrid>
      <w:tr>
        <w:tc>
          <w:tcPr>
            <w:tcW w:type="dxa" w:w="1100"/>
            <w:shd w:fill="1E8A5B" w:color="auto" w:val="clear"/>
            <w:tcMar>
              <w:top w:type="dxa" w:w="70"/>
              <w:left w:type="dxa" w:w="120"/>
              <w:bottom w:type="dxa" w:w="70"/>
              <w:right w:type="dxa" w:w="120"/>
            </w:tcMar>
            <w:vAlign w:val="center"/>
          </w:tcPr>
          <w:p>
            <w:pPr>
              <w:jc w:val="center"/>
            </w:pPr>
            <w:r>
              <w:rPr>
                <w:rFonts w:ascii="Consolas" w:cs="Consolas" w:eastAsia="Consolas" w:hAnsi="Consolas"/>
                <w:b/>
                <w:bCs/>
                <w:color w:val="FFFFFF"/>
                <w:sz w:val="18"/>
                <w:szCs w:val="18"/>
              </w:rPr>
              <w:t xml:space="preserve">GET</w:t>
            </w:r>
          </w:p>
        </w:tc>
        <w:tc>
          <w:tcPr>
            <w:shd w:fill="0F1E33" w:color="auto" w:val="clear"/>
            <w:tcMar>
              <w:top w:type="dxa" w:w="70"/>
              <w:left w:type="dxa" w:w="160"/>
              <w:bottom w:type="dxa" w:w="70"/>
              <w:right w:type="dxa" w:w="120"/>
            </w:tcMar>
            <w:vAlign w:val="center"/>
          </w:tcPr>
          <w:p>
            <w:r>
              <w:rPr>
                <w:rFonts w:ascii="Consolas" w:cs="Consolas" w:eastAsia="Consolas" w:hAnsi="Consolas"/>
                <w:b/>
                <w:bCs/>
                <w:color w:val="FFFFFF"/>
                <w:sz w:val="20"/>
                <w:szCs w:val="20"/>
              </w:rPr>
              <w:t xml:space="preserve">/v1/score/{application_id}</w:t>
            </w:r>
          </w:p>
        </w:tc>
      </w:tr>
    </w:tbl>
    <w:p>
      <w:pPr>
        <w:spacing w:after="120"/>
      </w:pPr>
    </w:p>
    <w:tbl>
      <w:tblPr>
        <w:tblW w:type="pct" w:w="100%"/>
        <w:tblBorders>
          <w:top w:val="single" w:color="D6DEE5" w:sz="4"/>
          <w:left w:val="single" w:color="D6DEE5" w:sz="4"/>
          <w:bottom w:val="single" w:color="D6DEE5" w:sz="4"/>
          <w:right w:val="single" w:color="D6DEE5" w:sz="4"/>
          <w:insideH w:val="single" w:color="D6DEE5" w:sz="4"/>
          <w:insideV w:val="single" w:color="D6DEE5" w:sz="4"/>
        </w:tblBorders>
      </w:tblPr>
      <w:tblGrid>
        <w:gridCol w:w="2600"/>
        <w:gridCol w:w="1600"/>
        <w:gridCol w:w="5300"/>
      </w:tblGrid>
      <w:tr>
        <w:trPr>
          <w:tblHeader/>
        </w:trPr>
        <w:tc>
          <w:tcPr>
            <w:tcW w:type="dxa" w:w="2600"/>
            <w:shd w:fill="1F4E79" w:color="auto" w:val="clear"/>
            <w:tcMar>
              <w:top w:type="dxa" w:w="90"/>
              <w:left w:type="dxa" w:w="110"/>
              <w:bottom w:type="dxa" w:w="90"/>
              <w:right w:type="dxa" w:w="110"/>
            </w:tcMar>
            <w:vAlign w:val="center"/>
          </w:tcPr>
          <w:p>
            <w:r>
              <w:rPr>
                <w:rFonts w:ascii="Calibri" w:cs="Calibri" w:eastAsia="Calibri" w:hAnsi="Calibri"/>
                <w:b/>
                <w:bCs/>
                <w:color w:val="FFFFFF"/>
                <w:sz w:val="18"/>
                <w:szCs w:val="18"/>
              </w:rPr>
              <w:t xml:space="preserve">Path parameter</w:t>
            </w:r>
          </w:p>
        </w:tc>
        <w:tc>
          <w:tcPr>
            <w:tcW w:type="dxa" w:w="1600"/>
            <w:shd w:fill="1F4E79" w:color="auto" w:val="clear"/>
            <w:tcMar>
              <w:top w:type="dxa" w:w="90"/>
              <w:left w:type="dxa" w:w="110"/>
              <w:bottom w:type="dxa" w:w="90"/>
              <w:right w:type="dxa" w:w="110"/>
            </w:tcMar>
            <w:vAlign w:val="center"/>
          </w:tcPr>
          <w:p>
            <w:r>
              <w:rPr>
                <w:rFonts w:ascii="Calibri" w:cs="Calibri" w:eastAsia="Calibri" w:hAnsi="Calibri"/>
                <w:b/>
                <w:bCs/>
                <w:color w:val="FFFFFF"/>
                <w:sz w:val="18"/>
                <w:szCs w:val="18"/>
              </w:rPr>
              <w:t xml:space="preserve">Type</w:t>
            </w:r>
          </w:p>
        </w:tc>
        <w:tc>
          <w:tcPr>
            <w:tcW w:type="dxa" w:w="5300"/>
            <w:shd w:fill="1F4E79" w:color="auto" w:val="clear"/>
            <w:tcMar>
              <w:top w:type="dxa" w:w="90"/>
              <w:left w:type="dxa" w:w="110"/>
              <w:bottom w:type="dxa" w:w="90"/>
              <w:right w:type="dxa" w:w="110"/>
            </w:tcMar>
            <w:vAlign w:val="center"/>
          </w:tcPr>
          <w:p>
            <w:r>
              <w:rPr>
                <w:rFonts w:ascii="Calibri" w:cs="Calibri" w:eastAsia="Calibri" w:hAnsi="Calibri"/>
                <w:b/>
                <w:bCs/>
                <w:color w:val="FFFFFF"/>
                <w:sz w:val="18"/>
                <w:szCs w:val="18"/>
              </w:rPr>
              <w:t xml:space="preserve">Description</w:t>
            </w:r>
          </w:p>
        </w:tc>
      </w:tr>
      <w:tr>
        <w:tc>
          <w:tcPr>
            <w:tcW w:type="dxa" w:w="26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application_id</w:t>
            </w:r>
          </w:p>
        </w:tc>
        <w:tc>
          <w:tcPr>
            <w:tcW w:type="dxa" w:w="16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string</w:t>
            </w:r>
          </w:p>
        </w:tc>
        <w:tc>
          <w:tcPr>
            <w:tcW w:type="dxa" w:w="53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The application_id supplied on the original /v1/score request.</w:t>
            </w:r>
          </w:p>
        </w:tc>
      </w:tr>
    </w:tbl>
    <w:p>
      <w:pPr>
        <w:spacing w:after="120"/>
      </w:pPr>
    </w:p>
    <w:p>
      <w:pPr>
        <w:pStyle w:val="Heading1"/>
        <w:pBdr>
          <w:bottom w:val="single" w:color="00A8A8" w:sz="12" w:space="4"/>
        </w:pBdr>
        <w:spacing w:after="160" w:before="360"/>
      </w:pPr>
      <w:r>
        <w:rPr>
          <w:rFonts w:ascii="Calibri" w:cs="Calibri" w:eastAsia="Calibri" w:hAnsi="Calibri"/>
          <w:b/>
          <w:bCs/>
          <w:color w:val="0B1F3A"/>
          <w:sz w:val="30"/>
          <w:szCs w:val="30"/>
        </w:rPr>
        <w:t xml:space="preserve">7. Endpoint: Feedback / Outcome Reporting</w:t>
      </w:r>
    </w:p>
    <w:p>
      <w:pPr>
        <w:spacing w:after="160" w:line="300"/>
        <w:jc w:val="both"/>
      </w:pPr>
      <w:r>
        <w:rPr>
          <w:rFonts w:ascii="Calibri" w:cs="Calibri" w:eastAsia="Calibri" w:hAnsi="Calibri"/>
          <w:color w:val="33404A"/>
          <w:sz w:val="20"/>
          <w:szCs w:val="20"/>
        </w:rPr>
        <w:t xml:space="preserve">Allows the LOS to report the eventual ground-truth outcome of a scored application (e.g. confirmed fraud, confirmed legitimate, chargeback). Outcome feedback feeds the quarterly retraining pipeline and drift-monitoring dashboards; it does not affect any already-issued score.</w:t>
      </w:r>
    </w:p>
    <w:tbl>
      <w:tblPr>
        <w:tblW w:type="pct" w:w="100%"/>
        <w:tblBorders>
          <w:top w:val="single" w:color="D6DEE5" w:sz="4"/>
          <w:left w:val="single" w:color="D6DEE5" w:sz="4"/>
          <w:bottom w:val="single" w:color="D6DEE5" w:sz="4"/>
          <w:right w:val="single" w:color="D6DEE5" w:sz="4"/>
          <w:insideH w:val="single" w:color="auto" w:sz="4"/>
          <w:insideV w:val="single" w:color="auto" w:sz="4"/>
        </w:tblBorders>
      </w:tblPr>
      <w:tblGrid>
        <w:gridCol w:w="100"/>
        <w:gridCol w:w="100"/>
      </w:tblGrid>
      <w:tr>
        <w:tc>
          <w:tcPr>
            <w:tcW w:type="dxa" w:w="1100"/>
            <w:shd w:fill="1F4E79" w:color="auto" w:val="clear"/>
            <w:tcMar>
              <w:top w:type="dxa" w:w="70"/>
              <w:left w:type="dxa" w:w="120"/>
              <w:bottom w:type="dxa" w:w="70"/>
              <w:right w:type="dxa" w:w="120"/>
            </w:tcMar>
            <w:vAlign w:val="center"/>
          </w:tcPr>
          <w:p>
            <w:pPr>
              <w:jc w:val="center"/>
            </w:pPr>
            <w:r>
              <w:rPr>
                <w:rFonts w:ascii="Consolas" w:cs="Consolas" w:eastAsia="Consolas" w:hAnsi="Consolas"/>
                <w:b/>
                <w:bCs/>
                <w:color w:val="FFFFFF"/>
                <w:sz w:val="18"/>
                <w:szCs w:val="18"/>
              </w:rPr>
              <w:t xml:space="preserve">POST</w:t>
            </w:r>
          </w:p>
        </w:tc>
        <w:tc>
          <w:tcPr>
            <w:shd w:fill="0F1E33" w:color="auto" w:val="clear"/>
            <w:tcMar>
              <w:top w:type="dxa" w:w="70"/>
              <w:left w:type="dxa" w:w="160"/>
              <w:bottom w:type="dxa" w:w="70"/>
              <w:right w:type="dxa" w:w="120"/>
            </w:tcMar>
            <w:vAlign w:val="center"/>
          </w:tcPr>
          <w:p>
            <w:r>
              <w:rPr>
                <w:rFonts w:ascii="Consolas" w:cs="Consolas" w:eastAsia="Consolas" w:hAnsi="Consolas"/>
                <w:b/>
                <w:bCs/>
                <w:color w:val="FFFFFF"/>
                <w:sz w:val="20"/>
                <w:szCs w:val="20"/>
              </w:rPr>
              <w:t xml:space="preserve">/v1/feedback</w:t>
            </w:r>
          </w:p>
        </w:tc>
      </w:tr>
    </w:tbl>
    <w:p>
      <w:pPr>
        <w:spacing w:after="120"/>
      </w:pPr>
    </w:p>
    <w:tbl>
      <w:tblPr>
        <w:tblW w:type="pct" w:w="100%"/>
        <w:tblBorders>
          <w:top w:val="single" w:color="0F1720" w:sz="4"/>
          <w:left w:val="single" w:color="0F1720" w:sz="4"/>
          <w:bottom w:val="single" w:color="0F1720" w:sz="4"/>
          <w:right w:val="single" w:color="0F1720" w:sz="4"/>
          <w:insideH w:val="single" w:color="auto" w:sz="4"/>
          <w:insideV w:val="single" w:color="auto" w:sz="4"/>
        </w:tblBorders>
      </w:tblPr>
      <w:tblGrid>
        <w:gridCol w:w="100"/>
      </w:tblGrid>
      <w:tr>
        <w:tc>
          <w:tcPr>
            <w:shd w:fill="1E2A38" w:color="auto" w:val="clear"/>
            <w:tcMar>
              <w:top w:type="dxa" w:w="160"/>
              <w:left w:type="dxa" w:w="200"/>
              <w:bottom w:type="dxa" w:w="160"/>
              <w:right w:type="dxa" w:w="200"/>
            </w:tcMar>
          </w:tcPr>
          <w:p>
            <w:pPr>
              <w:spacing w:after="20"/>
            </w:pPr>
            <w:r>
              <w:rPr>
                <w:rFonts w:ascii="Consolas" w:cs="Consolas" w:eastAsia="Consolas" w:hAnsi="Consolas"/>
                <w:color w:val="D8E8EA"/>
                <w:sz w:val="18"/>
                <w:szCs w:val="18"/>
              </w:rPr>
              <w:t xml:space="preserve">{</w:t>
            </w:r>
          </w:p>
          <w:p>
            <w:pPr>
              <w:spacing w:after="20"/>
            </w:pPr>
            <w:r>
              <w:rPr>
                <w:rFonts w:ascii="Consolas" w:cs="Consolas" w:eastAsia="Consolas" w:hAnsi="Consolas"/>
                <w:color w:val="D8E8EA"/>
                <w:sz w:val="18"/>
                <w:szCs w:val="18"/>
              </w:rPr>
              <w:t xml:space="preserve">  "application_id": "app_8f13c9",</w:t>
            </w:r>
          </w:p>
          <w:p>
            <w:pPr>
              <w:spacing w:after="20"/>
            </w:pPr>
            <w:r>
              <w:rPr>
                <w:rFonts w:ascii="Consolas" w:cs="Consolas" w:eastAsia="Consolas" w:hAnsi="Consolas"/>
                <w:color w:val="D8E8EA"/>
                <w:sz w:val="18"/>
                <w:szCs w:val="18"/>
              </w:rPr>
              <w:t xml:space="preserve">  "outcome": "confirmed_legitimate",</w:t>
            </w:r>
          </w:p>
          <w:p>
            <w:pPr>
              <w:spacing w:after="20"/>
            </w:pPr>
            <w:r>
              <w:rPr>
                <w:rFonts w:ascii="Consolas" w:cs="Consolas" w:eastAsia="Consolas" w:hAnsi="Consolas"/>
                <w:color w:val="D8E8EA"/>
                <w:sz w:val="18"/>
                <w:szCs w:val="18"/>
              </w:rPr>
              <w:t xml:space="preserve">  "outcome_date": "2026-04-10",</w:t>
            </w:r>
          </w:p>
          <w:p>
            <w:pPr>
              <w:spacing w:after="20"/>
            </w:pPr>
            <w:r>
              <w:rPr>
                <w:rFonts w:ascii="Consolas" w:cs="Consolas" w:eastAsia="Consolas" w:hAnsi="Consolas"/>
                <w:color w:val="D8E8EA"/>
                <w:sz w:val="18"/>
                <w:szCs w:val="18"/>
              </w:rPr>
              <w:t xml:space="preserve">  "notes": "Manual review cleared; borrower verified via call-back."</w:t>
            </w:r>
          </w:p>
          <w:p>
            <w:pPr>
              <w:spacing w:after="20"/>
            </w:pPr>
            <w:r>
              <w:rPr>
                <w:rFonts w:ascii="Consolas" w:cs="Consolas" w:eastAsia="Consolas" w:hAnsi="Consolas"/>
                <w:color w:val="D8E8EA"/>
                <w:sz w:val="18"/>
                <w:szCs w:val="18"/>
              </w:rPr>
              <w:t xml:space="preserve">}</w:t>
            </w:r>
          </w:p>
        </w:tc>
      </w:tr>
    </w:tbl>
    <w:p>
      <w:pPr>
        <w:spacing w:after="120"/>
      </w:pPr>
    </w:p>
    <w:p>
      <w:pPr>
        <w:pStyle w:val="Heading1"/>
        <w:pBdr>
          <w:bottom w:val="single" w:color="00A8A8" w:sz="12" w:space="4"/>
        </w:pBdr>
        <w:spacing w:after="160" w:before="360"/>
      </w:pPr>
      <w:r>
        <w:rPr>
          <w:rFonts w:ascii="Calibri" w:cs="Calibri" w:eastAsia="Calibri" w:hAnsi="Calibri"/>
          <w:b/>
          <w:bCs/>
          <w:color w:val="0B1F3A"/>
          <w:sz w:val="30"/>
          <w:szCs w:val="30"/>
        </w:rPr>
        <w:t xml:space="preserve">8. Endpoint: Health Check</w:t>
      </w:r>
    </w:p>
    <w:p>
      <w:pPr>
        <w:spacing w:after="160" w:line="300"/>
        <w:jc w:val="both"/>
      </w:pPr>
      <w:r>
        <w:rPr>
          <w:rFonts w:ascii="Calibri" w:cs="Calibri" w:eastAsia="Calibri" w:hAnsi="Calibri"/>
          <w:color w:val="33404A"/>
          <w:sz w:val="20"/>
          <w:szCs w:val="20"/>
        </w:rPr>
        <w:t xml:space="preserve">Used by load balancer target-group health checks and external uptime monitors. Unauthenticated, cheap to compute, and excluded from rate limiting.</w:t>
      </w:r>
    </w:p>
    <w:tbl>
      <w:tblPr>
        <w:tblW w:type="pct" w:w="100%"/>
        <w:tblBorders>
          <w:top w:val="single" w:color="D6DEE5" w:sz="4"/>
          <w:left w:val="single" w:color="D6DEE5" w:sz="4"/>
          <w:bottom w:val="single" w:color="D6DEE5" w:sz="4"/>
          <w:right w:val="single" w:color="D6DEE5" w:sz="4"/>
          <w:insideH w:val="single" w:color="auto" w:sz="4"/>
          <w:insideV w:val="single" w:color="auto" w:sz="4"/>
        </w:tblBorders>
      </w:tblPr>
      <w:tblGrid>
        <w:gridCol w:w="100"/>
        <w:gridCol w:w="100"/>
      </w:tblGrid>
      <w:tr>
        <w:tc>
          <w:tcPr>
            <w:tcW w:type="dxa" w:w="1100"/>
            <w:shd w:fill="1E8A5B" w:color="auto" w:val="clear"/>
            <w:tcMar>
              <w:top w:type="dxa" w:w="70"/>
              <w:left w:type="dxa" w:w="120"/>
              <w:bottom w:type="dxa" w:w="70"/>
              <w:right w:type="dxa" w:w="120"/>
            </w:tcMar>
            <w:vAlign w:val="center"/>
          </w:tcPr>
          <w:p>
            <w:pPr>
              <w:jc w:val="center"/>
            </w:pPr>
            <w:r>
              <w:rPr>
                <w:rFonts w:ascii="Consolas" w:cs="Consolas" w:eastAsia="Consolas" w:hAnsi="Consolas"/>
                <w:b/>
                <w:bCs/>
                <w:color w:val="FFFFFF"/>
                <w:sz w:val="18"/>
                <w:szCs w:val="18"/>
              </w:rPr>
              <w:t xml:space="preserve">GET</w:t>
            </w:r>
          </w:p>
        </w:tc>
        <w:tc>
          <w:tcPr>
            <w:shd w:fill="0F1E33" w:color="auto" w:val="clear"/>
            <w:tcMar>
              <w:top w:type="dxa" w:w="70"/>
              <w:left w:type="dxa" w:w="160"/>
              <w:bottom w:type="dxa" w:w="70"/>
              <w:right w:type="dxa" w:w="120"/>
            </w:tcMar>
            <w:vAlign w:val="center"/>
          </w:tcPr>
          <w:p>
            <w:r>
              <w:rPr>
                <w:rFonts w:ascii="Consolas" w:cs="Consolas" w:eastAsia="Consolas" w:hAnsi="Consolas"/>
                <w:b/>
                <w:bCs/>
                <w:color w:val="FFFFFF"/>
                <w:sz w:val="20"/>
                <w:szCs w:val="20"/>
              </w:rPr>
              <w:t xml:space="preserve">/v1/health</w:t>
            </w:r>
          </w:p>
        </w:tc>
      </w:tr>
    </w:tbl>
    <w:p>
      <w:pPr>
        <w:spacing w:after="120"/>
      </w:pPr>
    </w:p>
    <w:tbl>
      <w:tblPr>
        <w:tblW w:type="pct" w:w="100%"/>
        <w:tblBorders>
          <w:top w:val="single" w:color="0F1720" w:sz="4"/>
          <w:left w:val="single" w:color="0F1720" w:sz="4"/>
          <w:bottom w:val="single" w:color="0F1720" w:sz="4"/>
          <w:right w:val="single" w:color="0F1720" w:sz="4"/>
          <w:insideH w:val="single" w:color="auto" w:sz="4"/>
          <w:insideV w:val="single" w:color="auto" w:sz="4"/>
        </w:tblBorders>
      </w:tblPr>
      <w:tblGrid>
        <w:gridCol w:w="100"/>
      </w:tblGrid>
      <w:tr>
        <w:tc>
          <w:tcPr>
            <w:shd w:fill="1E2A38" w:color="auto" w:val="clear"/>
            <w:tcMar>
              <w:top w:type="dxa" w:w="160"/>
              <w:left w:type="dxa" w:w="200"/>
              <w:bottom w:type="dxa" w:w="160"/>
              <w:right w:type="dxa" w:w="200"/>
            </w:tcMar>
          </w:tcPr>
          <w:p>
            <w:pPr>
              <w:spacing w:after="20"/>
            </w:pPr>
            <w:r>
              <w:rPr>
                <w:rFonts w:ascii="Consolas" w:cs="Consolas" w:eastAsia="Consolas" w:hAnsi="Consolas"/>
                <w:color w:val="D8E8EA"/>
                <w:sz w:val="18"/>
                <w:szCs w:val="18"/>
              </w:rPr>
              <w:t xml:space="preserve">{</w:t>
            </w:r>
          </w:p>
          <w:p>
            <w:pPr>
              <w:spacing w:after="20"/>
            </w:pPr>
            <w:r>
              <w:rPr>
                <w:rFonts w:ascii="Consolas" w:cs="Consolas" w:eastAsia="Consolas" w:hAnsi="Consolas"/>
                <w:color w:val="D8E8EA"/>
                <w:sz w:val="18"/>
                <w:szCs w:val="18"/>
              </w:rPr>
              <w:t xml:space="preserve">  "status": "ok",</w:t>
            </w:r>
          </w:p>
          <w:p>
            <w:pPr>
              <w:spacing w:after="20"/>
            </w:pPr>
            <w:r>
              <w:rPr>
                <w:rFonts w:ascii="Consolas" w:cs="Consolas" w:eastAsia="Consolas" w:hAnsi="Consolas"/>
                <w:color w:val="D8E8EA"/>
                <w:sz w:val="18"/>
                <w:szCs w:val="18"/>
              </w:rPr>
              <w:t xml:space="preserve">  "model_version": "ensemble-2026.03.1",</w:t>
            </w:r>
          </w:p>
          <w:p>
            <w:pPr>
              <w:spacing w:after="20"/>
            </w:pPr>
            <w:r>
              <w:rPr>
                <w:rFonts w:ascii="Consolas" w:cs="Consolas" w:eastAsia="Consolas" w:hAnsi="Consolas"/>
                <w:color w:val="D8E8EA"/>
                <w:sz w:val="18"/>
                <w:szCs w:val="18"/>
              </w:rPr>
              <w:t xml:space="preserve">  "cache": "connected",</w:t>
            </w:r>
          </w:p>
          <w:p>
            <w:pPr>
              <w:spacing w:after="20"/>
            </w:pPr>
            <w:r>
              <w:rPr>
                <w:rFonts w:ascii="Consolas" w:cs="Consolas" w:eastAsia="Consolas" w:hAnsi="Consolas"/>
                <w:color w:val="D8E8EA"/>
                <w:sz w:val="18"/>
                <w:szCs w:val="18"/>
              </w:rPr>
              <w:t xml:space="preserve">  "uptime_seconds": 2871340</w:t>
            </w:r>
          </w:p>
          <w:p>
            <w:pPr>
              <w:spacing w:after="20"/>
            </w:pPr>
            <w:r>
              <w:rPr>
                <w:rFonts w:ascii="Consolas" w:cs="Consolas" w:eastAsia="Consolas" w:hAnsi="Consolas"/>
                <w:color w:val="D8E8EA"/>
                <w:sz w:val="18"/>
                <w:szCs w:val="18"/>
              </w:rPr>
              <w:t xml:space="preserve">}</w:t>
            </w:r>
          </w:p>
        </w:tc>
      </w:tr>
    </w:tbl>
    <w:p>
      <w:r>
        <w:br w:type="page"/>
      </w:r>
    </w:p>
    <w:p>
      <w:pPr>
        <w:pStyle w:val="Heading1"/>
        <w:pBdr>
          <w:bottom w:val="single" w:color="00A8A8" w:sz="12" w:space="4"/>
        </w:pBdr>
        <w:spacing w:after="160" w:before="360"/>
      </w:pPr>
      <w:r>
        <w:rPr>
          <w:rFonts w:ascii="Calibri" w:cs="Calibri" w:eastAsia="Calibri" w:hAnsi="Calibri"/>
          <w:b/>
          <w:bCs/>
          <w:color w:val="0B1F3A"/>
          <w:sz w:val="30"/>
          <w:szCs w:val="30"/>
        </w:rPr>
        <w:t xml:space="preserve">9. Request &amp; Response Schemas</w:t>
      </w:r>
    </w:p>
    <w:p>
      <w:pPr>
        <w:spacing w:after="80" w:before="180"/>
      </w:pPr>
      <w:r>
        <w:rPr>
          <w:rFonts w:ascii="Calibri" w:cs="Calibri" w:eastAsia="Calibri" w:hAnsi="Calibri"/>
          <w:b/>
          <w:bCs/>
          <w:color w:val="1F4E79"/>
          <w:sz w:val="21"/>
          <w:szCs w:val="21"/>
        </w:rPr>
        <w:t xml:space="preserve">9.1 risk_band Enumeration</w:t>
      </w:r>
    </w:p>
    <w:tbl>
      <w:tblPr>
        <w:tblW w:type="pct" w:w="100%"/>
        <w:tblBorders>
          <w:top w:val="single" w:color="D6DEE5" w:sz="4"/>
          <w:left w:val="single" w:color="D6DEE5" w:sz="4"/>
          <w:bottom w:val="single" w:color="D6DEE5" w:sz="4"/>
          <w:right w:val="single" w:color="D6DEE5" w:sz="4"/>
          <w:insideH w:val="single" w:color="D6DEE5" w:sz="4"/>
          <w:insideV w:val="single" w:color="D6DEE5" w:sz="4"/>
        </w:tblBorders>
      </w:tblPr>
      <w:tblGrid>
        <w:gridCol w:w="2600"/>
        <w:gridCol w:w="2200"/>
        <w:gridCol w:w="4700"/>
      </w:tblGrid>
      <w:tr>
        <w:trPr>
          <w:tblHeader/>
        </w:trPr>
        <w:tc>
          <w:tcPr>
            <w:tcW w:type="dxa" w:w="2600"/>
            <w:shd w:fill="1F4E79" w:color="auto" w:val="clear"/>
            <w:tcMar>
              <w:top w:type="dxa" w:w="90"/>
              <w:left w:type="dxa" w:w="110"/>
              <w:bottom w:type="dxa" w:w="90"/>
              <w:right w:type="dxa" w:w="110"/>
            </w:tcMar>
            <w:vAlign w:val="center"/>
          </w:tcPr>
          <w:p>
            <w:r>
              <w:rPr>
                <w:rFonts w:ascii="Calibri" w:cs="Calibri" w:eastAsia="Calibri" w:hAnsi="Calibri"/>
                <w:b/>
                <w:bCs/>
                <w:color w:val="FFFFFF"/>
                <w:sz w:val="18"/>
                <w:szCs w:val="18"/>
              </w:rPr>
              <w:t xml:space="preserve">Value</w:t>
            </w:r>
          </w:p>
        </w:tc>
        <w:tc>
          <w:tcPr>
            <w:tcW w:type="dxa" w:w="2200"/>
            <w:shd w:fill="1F4E79" w:color="auto" w:val="clear"/>
            <w:tcMar>
              <w:top w:type="dxa" w:w="90"/>
              <w:left w:type="dxa" w:w="110"/>
              <w:bottom w:type="dxa" w:w="90"/>
              <w:right w:type="dxa" w:w="110"/>
            </w:tcMar>
            <w:vAlign w:val="center"/>
          </w:tcPr>
          <w:p>
            <w:r>
              <w:rPr>
                <w:rFonts w:ascii="Calibri" w:cs="Calibri" w:eastAsia="Calibri" w:hAnsi="Calibri"/>
                <w:b/>
                <w:bCs/>
                <w:color w:val="FFFFFF"/>
                <w:sz w:val="18"/>
                <w:szCs w:val="18"/>
              </w:rPr>
              <w:t xml:space="preserve">Score range</w:t>
            </w:r>
          </w:p>
        </w:tc>
        <w:tc>
          <w:tcPr>
            <w:tcW w:type="dxa" w:w="4700"/>
            <w:shd w:fill="1F4E79" w:color="auto" w:val="clear"/>
            <w:tcMar>
              <w:top w:type="dxa" w:w="90"/>
              <w:left w:type="dxa" w:w="110"/>
              <w:bottom w:type="dxa" w:w="90"/>
              <w:right w:type="dxa" w:w="110"/>
            </w:tcMar>
            <w:vAlign w:val="center"/>
          </w:tcPr>
          <w:p>
            <w:r>
              <w:rPr>
                <w:rFonts w:ascii="Calibri" w:cs="Calibri" w:eastAsia="Calibri" w:hAnsi="Calibri"/>
                <w:b/>
                <w:bCs/>
                <w:color w:val="FFFFFF"/>
                <w:sz w:val="18"/>
                <w:szCs w:val="18"/>
              </w:rPr>
              <w:t xml:space="preserve">Meaning</w:t>
            </w:r>
          </w:p>
        </w:tc>
      </w:tr>
      <w:tr>
        <w:tc>
          <w:tcPr>
            <w:tcW w:type="dxa" w:w="26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AUTO_APPROVE</w:t>
            </w:r>
          </w:p>
        </w:tc>
        <w:tc>
          <w:tcPr>
            <w:tcW w:type="dxa" w:w="22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0.00 – 0.15</w:t>
            </w:r>
          </w:p>
        </w:tc>
        <w:tc>
          <w:tcPr>
            <w:tcW w:type="dxa" w:w="47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Low fraud probability; proceeds straight through to underwriting.</w:t>
            </w:r>
          </w:p>
        </w:tc>
      </w:tr>
      <w:tr>
        <w:tc>
          <w:tcPr>
            <w:tcW w:type="dxa" w:w="2600"/>
            <w:shd w:fill="F2F6F9"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MANUAL_REVIEW</w:t>
            </w:r>
          </w:p>
        </w:tc>
        <w:tc>
          <w:tcPr>
            <w:tcW w:type="dxa" w:w="2200"/>
            <w:shd w:fill="F2F6F9"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0.15 – 0.65</w:t>
            </w:r>
          </w:p>
        </w:tc>
        <w:tc>
          <w:tcPr>
            <w:tcW w:type="dxa" w:w="4700"/>
            <w:shd w:fill="F2F6F9"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Elevated but inconclusive risk; routed to the human risk-review queue.</w:t>
            </w:r>
          </w:p>
        </w:tc>
      </w:tr>
      <w:tr>
        <w:tc>
          <w:tcPr>
            <w:tcW w:type="dxa" w:w="26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AUTO_DECLINE</w:t>
            </w:r>
          </w:p>
        </w:tc>
        <w:tc>
          <w:tcPr>
            <w:tcW w:type="dxa" w:w="22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0.65 – 1.00</w:t>
            </w:r>
          </w:p>
        </w:tc>
        <w:tc>
          <w:tcPr>
            <w:tcW w:type="dxa" w:w="47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High fraud probability; application automatically declined pending appeal.</w:t>
            </w:r>
          </w:p>
        </w:tc>
      </w:tr>
    </w:tbl>
    <w:p>
      <w:pPr>
        <w:spacing w:after="120"/>
      </w:pPr>
    </w:p>
    <w:p>
      <w:pPr>
        <w:spacing w:after="80" w:before="180"/>
      </w:pPr>
      <w:r>
        <w:rPr>
          <w:rFonts w:ascii="Calibri" w:cs="Calibri" w:eastAsia="Calibri" w:hAnsi="Calibri"/>
          <w:b/>
          <w:bCs/>
          <w:color w:val="1F4E79"/>
          <w:sz w:val="21"/>
          <w:szCs w:val="21"/>
        </w:rPr>
        <w:t xml:space="preserve">9.2 Field Reference — Score Response</w:t>
      </w:r>
    </w:p>
    <w:tbl>
      <w:tblPr>
        <w:tblW w:type="pct" w:w="100%"/>
        <w:tblBorders>
          <w:top w:val="single" w:color="D6DEE5" w:sz="4"/>
          <w:left w:val="single" w:color="D6DEE5" w:sz="4"/>
          <w:bottom w:val="single" w:color="D6DEE5" w:sz="4"/>
          <w:right w:val="single" w:color="D6DEE5" w:sz="4"/>
          <w:insideH w:val="single" w:color="D6DEE5" w:sz="4"/>
          <w:insideV w:val="single" w:color="D6DEE5" w:sz="4"/>
        </w:tblBorders>
      </w:tblPr>
      <w:tblGrid>
        <w:gridCol w:w="2600"/>
        <w:gridCol w:w="1800"/>
        <w:gridCol w:w="5100"/>
      </w:tblGrid>
      <w:tr>
        <w:trPr>
          <w:tblHeader/>
        </w:trPr>
        <w:tc>
          <w:tcPr>
            <w:tcW w:type="dxa" w:w="2600"/>
            <w:shd w:fill="1F4E79" w:color="auto" w:val="clear"/>
            <w:tcMar>
              <w:top w:type="dxa" w:w="90"/>
              <w:left w:type="dxa" w:w="110"/>
              <w:bottom w:type="dxa" w:w="90"/>
              <w:right w:type="dxa" w:w="110"/>
            </w:tcMar>
            <w:vAlign w:val="center"/>
          </w:tcPr>
          <w:p>
            <w:r>
              <w:rPr>
                <w:rFonts w:ascii="Calibri" w:cs="Calibri" w:eastAsia="Calibri" w:hAnsi="Calibri"/>
                <w:b/>
                <w:bCs/>
                <w:color w:val="FFFFFF"/>
                <w:sz w:val="18"/>
                <w:szCs w:val="18"/>
              </w:rPr>
              <w:t xml:space="preserve">Field</w:t>
            </w:r>
          </w:p>
        </w:tc>
        <w:tc>
          <w:tcPr>
            <w:tcW w:type="dxa" w:w="1800"/>
            <w:shd w:fill="1F4E79" w:color="auto" w:val="clear"/>
            <w:tcMar>
              <w:top w:type="dxa" w:w="90"/>
              <w:left w:type="dxa" w:w="110"/>
              <w:bottom w:type="dxa" w:w="90"/>
              <w:right w:type="dxa" w:w="110"/>
            </w:tcMar>
            <w:vAlign w:val="center"/>
          </w:tcPr>
          <w:p>
            <w:r>
              <w:rPr>
                <w:rFonts w:ascii="Calibri" w:cs="Calibri" w:eastAsia="Calibri" w:hAnsi="Calibri"/>
                <w:b/>
                <w:bCs/>
                <w:color w:val="FFFFFF"/>
                <w:sz w:val="18"/>
                <w:szCs w:val="18"/>
              </w:rPr>
              <w:t xml:space="preserve">Type</w:t>
            </w:r>
          </w:p>
        </w:tc>
        <w:tc>
          <w:tcPr>
            <w:tcW w:type="dxa" w:w="5100"/>
            <w:shd w:fill="1F4E79" w:color="auto" w:val="clear"/>
            <w:tcMar>
              <w:top w:type="dxa" w:w="90"/>
              <w:left w:type="dxa" w:w="110"/>
              <w:bottom w:type="dxa" w:w="90"/>
              <w:right w:type="dxa" w:w="110"/>
            </w:tcMar>
            <w:vAlign w:val="center"/>
          </w:tcPr>
          <w:p>
            <w:r>
              <w:rPr>
                <w:rFonts w:ascii="Calibri" w:cs="Calibri" w:eastAsia="Calibri" w:hAnsi="Calibri"/>
                <w:b/>
                <w:bCs/>
                <w:color w:val="FFFFFF"/>
                <w:sz w:val="18"/>
                <w:szCs w:val="18"/>
              </w:rPr>
              <w:t xml:space="preserve">Description</w:t>
            </w:r>
          </w:p>
        </w:tc>
      </w:tr>
      <w:tr>
        <w:tc>
          <w:tcPr>
            <w:tcW w:type="dxa" w:w="26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application_id</w:t>
            </w:r>
          </w:p>
        </w:tc>
        <w:tc>
          <w:tcPr>
            <w:tcW w:type="dxa" w:w="18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string</w:t>
            </w:r>
          </w:p>
        </w:tc>
        <w:tc>
          <w:tcPr>
            <w:tcW w:type="dxa" w:w="51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Echo of the submitted application identifier.</w:t>
            </w:r>
          </w:p>
        </w:tc>
      </w:tr>
      <w:tr>
        <w:tc>
          <w:tcPr>
            <w:tcW w:type="dxa" w:w="2600"/>
            <w:shd w:fill="F2F6F9"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score</w:t>
            </w:r>
          </w:p>
        </w:tc>
        <w:tc>
          <w:tcPr>
            <w:tcW w:type="dxa" w:w="1800"/>
            <w:shd w:fill="F2F6F9"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float [0,1]</w:t>
            </w:r>
          </w:p>
        </w:tc>
        <w:tc>
          <w:tcPr>
            <w:tcW w:type="dxa" w:w="5100"/>
            <w:shd w:fill="F2F6F9"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Calibrated ensemble fraud probability.</w:t>
            </w:r>
          </w:p>
        </w:tc>
      </w:tr>
      <w:tr>
        <w:tc>
          <w:tcPr>
            <w:tcW w:type="dxa" w:w="26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risk_band</w:t>
            </w:r>
          </w:p>
        </w:tc>
        <w:tc>
          <w:tcPr>
            <w:tcW w:type="dxa" w:w="18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enum</w:t>
            </w:r>
          </w:p>
        </w:tc>
        <w:tc>
          <w:tcPr>
            <w:tcW w:type="dxa" w:w="51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One of AUTO_APPROVE, MANUAL_REVIEW, AUTO_DECLINE.</w:t>
            </w:r>
          </w:p>
        </w:tc>
      </w:tr>
      <w:tr>
        <w:tc>
          <w:tcPr>
            <w:tcW w:type="dxa" w:w="2600"/>
            <w:shd w:fill="F2F6F9"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model_version</w:t>
            </w:r>
          </w:p>
        </w:tc>
        <w:tc>
          <w:tcPr>
            <w:tcW w:type="dxa" w:w="1800"/>
            <w:shd w:fill="F2F6F9"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string</w:t>
            </w:r>
          </w:p>
        </w:tc>
        <w:tc>
          <w:tcPr>
            <w:tcW w:type="dxa" w:w="5100"/>
            <w:shd w:fill="F2F6F9"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Semantic version tag of the ensemble that produced the score.</w:t>
            </w:r>
          </w:p>
        </w:tc>
      </w:tr>
      <w:tr>
        <w:tc>
          <w:tcPr>
            <w:tcW w:type="dxa" w:w="26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latency_ms</w:t>
            </w:r>
          </w:p>
        </w:tc>
        <w:tc>
          <w:tcPr>
            <w:tcW w:type="dxa" w:w="18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integer</w:t>
            </w:r>
          </w:p>
        </w:tc>
        <w:tc>
          <w:tcPr>
            <w:tcW w:type="dxa" w:w="51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Server-side processing time for this request.</w:t>
            </w:r>
          </w:p>
        </w:tc>
      </w:tr>
      <w:tr>
        <w:tc>
          <w:tcPr>
            <w:tcW w:type="dxa" w:w="2600"/>
            <w:shd w:fill="F2F6F9"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explanation.top_features</w:t>
            </w:r>
          </w:p>
        </w:tc>
        <w:tc>
          <w:tcPr>
            <w:tcW w:type="dxa" w:w="1800"/>
            <w:shd w:fill="F2F6F9"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array</w:t>
            </w:r>
          </w:p>
        </w:tc>
        <w:tc>
          <w:tcPr>
            <w:tcW w:type="dxa" w:w="5100"/>
            <w:shd w:fill="F2F6F9"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Top SHAP-ranked features and their signed contribution to the score.</w:t>
            </w:r>
          </w:p>
        </w:tc>
      </w:tr>
      <w:tr>
        <w:tc>
          <w:tcPr>
            <w:tcW w:type="dxa" w:w="26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scored_at</w:t>
            </w:r>
          </w:p>
        </w:tc>
        <w:tc>
          <w:tcPr>
            <w:tcW w:type="dxa" w:w="18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ISO-8601 datetime</w:t>
            </w:r>
          </w:p>
        </w:tc>
        <w:tc>
          <w:tcPr>
            <w:tcW w:type="dxa" w:w="51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UTC timestamp the score was generated.</w:t>
            </w:r>
          </w:p>
        </w:tc>
      </w:tr>
    </w:tbl>
    <w:p>
      <w:pPr>
        <w:pStyle w:val="Heading1"/>
        <w:pBdr>
          <w:bottom w:val="single" w:color="00A8A8" w:sz="12" w:space="4"/>
        </w:pBdr>
        <w:spacing w:after="160" w:before="360"/>
      </w:pPr>
      <w:r>
        <w:rPr>
          <w:rFonts w:ascii="Calibri" w:cs="Calibri" w:eastAsia="Calibri" w:hAnsi="Calibri"/>
          <w:b/>
          <w:bCs/>
          <w:color w:val="0B1F3A"/>
          <w:sz w:val="30"/>
          <w:szCs w:val="30"/>
        </w:rPr>
        <w:t xml:space="preserve">10. Error Codes &amp; Handling</w:t>
      </w:r>
    </w:p>
    <w:tbl>
      <w:tblPr>
        <w:tblW w:type="pct" w:w="100%"/>
        <w:tblBorders>
          <w:top w:val="single" w:color="D6DEE5" w:sz="4"/>
          <w:left w:val="single" w:color="D6DEE5" w:sz="4"/>
          <w:bottom w:val="single" w:color="D6DEE5" w:sz="4"/>
          <w:right w:val="single" w:color="D6DEE5" w:sz="4"/>
          <w:insideH w:val="single" w:color="D6DEE5" w:sz="4"/>
          <w:insideV w:val="single" w:color="D6DEE5" w:sz="4"/>
        </w:tblBorders>
      </w:tblPr>
      <w:tblGrid>
        <w:gridCol w:w="1500"/>
        <w:gridCol w:w="2500"/>
        <w:gridCol w:w="3400"/>
        <w:gridCol w:w="2100"/>
      </w:tblGrid>
      <w:tr>
        <w:trPr>
          <w:tblHeader/>
        </w:trPr>
        <w:tc>
          <w:tcPr>
            <w:tcW w:type="dxa" w:w="1500"/>
            <w:shd w:fill="1F4E79" w:color="auto" w:val="clear"/>
            <w:tcMar>
              <w:top w:type="dxa" w:w="90"/>
              <w:left w:type="dxa" w:w="110"/>
              <w:bottom w:type="dxa" w:w="90"/>
              <w:right w:type="dxa" w:w="110"/>
            </w:tcMar>
            <w:vAlign w:val="center"/>
          </w:tcPr>
          <w:p>
            <w:r>
              <w:rPr>
                <w:rFonts w:ascii="Calibri" w:cs="Calibri" w:eastAsia="Calibri" w:hAnsi="Calibri"/>
                <w:b/>
                <w:bCs/>
                <w:color w:val="FFFFFF"/>
                <w:sz w:val="18"/>
                <w:szCs w:val="18"/>
              </w:rPr>
              <w:t xml:space="preserve">HTTP status</w:t>
            </w:r>
          </w:p>
        </w:tc>
        <w:tc>
          <w:tcPr>
            <w:tcW w:type="dxa" w:w="2500"/>
            <w:shd w:fill="1F4E79" w:color="auto" w:val="clear"/>
            <w:tcMar>
              <w:top w:type="dxa" w:w="90"/>
              <w:left w:type="dxa" w:w="110"/>
              <w:bottom w:type="dxa" w:w="90"/>
              <w:right w:type="dxa" w:w="110"/>
            </w:tcMar>
            <w:vAlign w:val="center"/>
          </w:tcPr>
          <w:p>
            <w:r>
              <w:rPr>
                <w:rFonts w:ascii="Calibri" w:cs="Calibri" w:eastAsia="Calibri" w:hAnsi="Calibri"/>
                <w:b/>
                <w:bCs/>
                <w:color w:val="FFFFFF"/>
                <w:sz w:val="18"/>
                <w:szCs w:val="18"/>
              </w:rPr>
              <w:t xml:space="preserve">Code</w:t>
            </w:r>
          </w:p>
        </w:tc>
        <w:tc>
          <w:tcPr>
            <w:tcW w:type="dxa" w:w="3400"/>
            <w:shd w:fill="1F4E79" w:color="auto" w:val="clear"/>
            <w:tcMar>
              <w:top w:type="dxa" w:w="90"/>
              <w:left w:type="dxa" w:w="110"/>
              <w:bottom w:type="dxa" w:w="90"/>
              <w:right w:type="dxa" w:w="110"/>
            </w:tcMar>
            <w:vAlign w:val="center"/>
          </w:tcPr>
          <w:p>
            <w:r>
              <w:rPr>
                <w:rFonts w:ascii="Calibri" w:cs="Calibri" w:eastAsia="Calibri" w:hAnsi="Calibri"/>
                <w:b/>
                <w:bCs/>
                <w:color w:val="FFFFFF"/>
                <w:sz w:val="18"/>
                <w:szCs w:val="18"/>
              </w:rPr>
              <w:t xml:space="preserve">Meaning</w:t>
            </w:r>
          </w:p>
        </w:tc>
        <w:tc>
          <w:tcPr>
            <w:tcW w:type="dxa" w:w="2100"/>
            <w:shd w:fill="1F4E79" w:color="auto" w:val="clear"/>
            <w:tcMar>
              <w:top w:type="dxa" w:w="90"/>
              <w:left w:type="dxa" w:w="110"/>
              <w:bottom w:type="dxa" w:w="90"/>
              <w:right w:type="dxa" w:w="110"/>
            </w:tcMar>
            <w:vAlign w:val="center"/>
          </w:tcPr>
          <w:p>
            <w:r>
              <w:rPr>
                <w:rFonts w:ascii="Calibri" w:cs="Calibri" w:eastAsia="Calibri" w:hAnsi="Calibri"/>
                <w:b/>
                <w:bCs/>
                <w:color w:val="FFFFFF"/>
                <w:sz w:val="18"/>
                <w:szCs w:val="18"/>
              </w:rPr>
              <w:t xml:space="preserve">Client action</w:t>
            </w:r>
          </w:p>
        </w:tc>
      </w:tr>
      <w:tr>
        <w:tc>
          <w:tcPr>
            <w:tcW w:type="dxa" w:w="15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400</w:t>
            </w:r>
          </w:p>
        </w:tc>
        <w:tc>
          <w:tcPr>
            <w:tcW w:type="dxa" w:w="25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invalid_request</w:t>
            </w:r>
          </w:p>
        </w:tc>
        <w:tc>
          <w:tcPr>
            <w:tcW w:type="dxa" w:w="34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Malformed JSON or missing required field.</w:t>
            </w:r>
          </w:p>
        </w:tc>
        <w:tc>
          <w:tcPr>
            <w:tcW w:type="dxa" w:w="21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Fix payload; do not retry unmodified.</w:t>
            </w:r>
          </w:p>
        </w:tc>
      </w:tr>
      <w:tr>
        <w:tc>
          <w:tcPr>
            <w:tcW w:type="dxa" w:w="1500"/>
            <w:shd w:fill="F2F6F9"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401</w:t>
            </w:r>
          </w:p>
        </w:tc>
        <w:tc>
          <w:tcPr>
            <w:tcW w:type="dxa" w:w="2500"/>
            <w:shd w:fill="F2F6F9"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invalid_token</w:t>
            </w:r>
          </w:p>
        </w:tc>
        <w:tc>
          <w:tcPr>
            <w:tcW w:type="dxa" w:w="3400"/>
            <w:shd w:fill="F2F6F9"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Bearer token missing, expired, or invalid.</w:t>
            </w:r>
          </w:p>
        </w:tc>
        <w:tc>
          <w:tcPr>
            <w:tcW w:type="dxa" w:w="2100"/>
            <w:shd w:fill="F2F6F9"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Refresh token and retry.</w:t>
            </w:r>
          </w:p>
        </w:tc>
      </w:tr>
      <w:tr>
        <w:tc>
          <w:tcPr>
            <w:tcW w:type="dxa" w:w="15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403</w:t>
            </w:r>
          </w:p>
        </w:tc>
        <w:tc>
          <w:tcPr>
            <w:tcW w:type="dxa" w:w="25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signature_mismatch</w:t>
            </w:r>
          </w:p>
        </w:tc>
        <w:tc>
          <w:tcPr>
            <w:tcW w:type="dxa" w:w="34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HMAC signature invalid or timestamp outside allowed skew.</w:t>
            </w:r>
          </w:p>
        </w:tc>
        <w:tc>
          <w:tcPr>
            <w:tcW w:type="dxa" w:w="21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Re-sign request with correct key/clock.</w:t>
            </w:r>
          </w:p>
        </w:tc>
      </w:tr>
      <w:tr>
        <w:tc>
          <w:tcPr>
            <w:tcW w:type="dxa" w:w="1500"/>
            <w:shd w:fill="F2F6F9"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404</w:t>
            </w:r>
          </w:p>
        </w:tc>
        <w:tc>
          <w:tcPr>
            <w:tcW w:type="dxa" w:w="2500"/>
            <w:shd w:fill="F2F6F9"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not_found</w:t>
            </w:r>
          </w:p>
        </w:tc>
        <w:tc>
          <w:tcPr>
            <w:tcW w:type="dxa" w:w="3400"/>
            <w:shd w:fill="F2F6F9"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application_id not found (GET /score/{id}).</w:t>
            </w:r>
          </w:p>
        </w:tc>
        <w:tc>
          <w:tcPr>
            <w:tcW w:type="dxa" w:w="2100"/>
            <w:shd w:fill="F2F6F9"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Verify the ID; do not retry.</w:t>
            </w:r>
          </w:p>
        </w:tc>
      </w:tr>
      <w:tr>
        <w:tc>
          <w:tcPr>
            <w:tcW w:type="dxa" w:w="15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409</w:t>
            </w:r>
          </w:p>
        </w:tc>
        <w:tc>
          <w:tcPr>
            <w:tcW w:type="dxa" w:w="25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duplicate_idempotency_key</w:t>
            </w:r>
          </w:p>
        </w:tc>
        <w:tc>
          <w:tcPr>
            <w:tcW w:type="dxa" w:w="34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Key reused with a different payload.</w:t>
            </w:r>
          </w:p>
        </w:tc>
        <w:tc>
          <w:tcPr>
            <w:tcW w:type="dxa" w:w="21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Use a new idempotency_key.</w:t>
            </w:r>
          </w:p>
        </w:tc>
      </w:tr>
      <w:tr>
        <w:tc>
          <w:tcPr>
            <w:tcW w:type="dxa" w:w="1500"/>
            <w:shd w:fill="F2F6F9"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422</w:t>
            </w:r>
          </w:p>
        </w:tc>
        <w:tc>
          <w:tcPr>
            <w:tcW w:type="dxa" w:w="2500"/>
            <w:shd w:fill="F2F6F9"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feature_validation_error</w:t>
            </w:r>
          </w:p>
        </w:tc>
        <w:tc>
          <w:tcPr>
            <w:tcW w:type="dxa" w:w="3400"/>
            <w:shd w:fill="F2F6F9"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One or more feature values out of accepted range.</w:t>
            </w:r>
          </w:p>
        </w:tc>
        <w:tc>
          <w:tcPr>
            <w:tcW w:type="dxa" w:w="2100"/>
            <w:shd w:fill="F2F6F9"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Correct and resubmit.</w:t>
            </w:r>
          </w:p>
        </w:tc>
      </w:tr>
      <w:tr>
        <w:tc>
          <w:tcPr>
            <w:tcW w:type="dxa" w:w="15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429</w:t>
            </w:r>
          </w:p>
        </w:tc>
        <w:tc>
          <w:tcPr>
            <w:tcW w:type="dxa" w:w="25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rate_limited</w:t>
            </w:r>
          </w:p>
        </w:tc>
        <w:tc>
          <w:tcPr>
            <w:tcW w:type="dxa" w:w="34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Client exceeded its rate limit.</w:t>
            </w:r>
          </w:p>
        </w:tc>
        <w:tc>
          <w:tcPr>
            <w:tcW w:type="dxa" w:w="21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Back off per Retry-After header.</w:t>
            </w:r>
          </w:p>
        </w:tc>
      </w:tr>
      <w:tr>
        <w:tc>
          <w:tcPr>
            <w:tcW w:type="dxa" w:w="1500"/>
            <w:shd w:fill="F2F6F9"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500</w:t>
            </w:r>
          </w:p>
        </w:tc>
        <w:tc>
          <w:tcPr>
            <w:tcW w:type="dxa" w:w="2500"/>
            <w:shd w:fill="F2F6F9"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internal_error</w:t>
            </w:r>
          </w:p>
        </w:tc>
        <w:tc>
          <w:tcPr>
            <w:tcW w:type="dxa" w:w="3400"/>
            <w:shd w:fill="F2F6F9"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Unexpected server-side failure.</w:t>
            </w:r>
          </w:p>
        </w:tc>
        <w:tc>
          <w:tcPr>
            <w:tcW w:type="dxa" w:w="2100"/>
            <w:shd w:fill="F2F6F9"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Retry with exponential backoff (max 3 attempts).</w:t>
            </w:r>
          </w:p>
        </w:tc>
      </w:tr>
      <w:tr>
        <w:tc>
          <w:tcPr>
            <w:tcW w:type="dxa" w:w="15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503</w:t>
            </w:r>
          </w:p>
        </w:tc>
        <w:tc>
          <w:tcPr>
            <w:tcW w:type="dxa" w:w="25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model_unavailable</w:t>
            </w:r>
          </w:p>
        </w:tc>
        <w:tc>
          <w:tcPr>
            <w:tcW w:type="dxa" w:w="34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Scoring service temporarily degraded (failover in progress).</w:t>
            </w:r>
          </w:p>
        </w:tc>
        <w:tc>
          <w:tcPr>
            <w:tcW w:type="dxa" w:w="21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Retry after short delay; fallback to manual review queue.</w:t>
            </w:r>
          </w:p>
        </w:tc>
      </w:tr>
    </w:tbl>
    <w:p>
      <w:pPr>
        <w:spacing w:after="120"/>
      </w:pPr>
    </w:p>
    <w:tbl>
      <w:tblPr>
        <w:tblW w:type="pct" w:w="100%"/>
        <w:tblBorders>
          <w:top w:val="single" w:color="FBEAEA" w:sz="4"/>
          <w:left w:val="single" w:color="B23A3A" w:sz="24"/>
          <w:bottom w:val="single" w:color="FBEAEA" w:sz="4"/>
          <w:right w:val="single" w:color="FBEAEA" w:sz="4"/>
          <w:insideH w:val="single" w:color="auto" w:sz="4"/>
          <w:insideV w:val="single" w:color="auto" w:sz="4"/>
        </w:tblBorders>
      </w:tblPr>
      <w:tblGrid>
        <w:gridCol w:w="100"/>
      </w:tblGrid>
      <w:tr>
        <w:tc>
          <w:tcPr>
            <w:shd w:fill="FBEAEA" w:color="auto" w:val="clear"/>
            <w:tcMar>
              <w:top w:type="dxa" w:w="130"/>
              <w:left w:type="dxa" w:w="180"/>
              <w:bottom w:type="dxa" w:w="130"/>
              <w:right w:type="dxa" w:w="180"/>
            </w:tcMar>
          </w:tcPr>
          <w:p>
            <w:pPr>
              <w:spacing w:after="40"/>
            </w:pPr>
            <w:r>
              <w:rPr>
                <w:rFonts w:ascii="Calibri" w:cs="Calibri" w:eastAsia="Calibri" w:hAnsi="Calibri"/>
                <w:b/>
                <w:bCs/>
                <w:color w:val="B23A3A"/>
                <w:sz w:val="19"/>
                <w:szCs w:val="19"/>
              </w:rPr>
              <w:t xml:space="preserve">Fallback behaviour</w:t>
            </w:r>
          </w:p>
          <w:p>
            <w:r>
              <w:rPr>
                <w:rFonts w:ascii="Calibri" w:cs="Calibri" w:eastAsia="Calibri" w:hAnsi="Calibri"/>
                <w:color w:val="33404A"/>
                <w:sz w:val="19"/>
                <w:szCs w:val="19"/>
              </w:rPr>
              <w:t xml:space="preserve">If the API is unreachable or returns a 5xx for longer than 5 consecutive seconds, the LOS integration is configured to fail safe: applications are automatically routed to the manual review queue rather than silently approved or declined.</w:t>
            </w:r>
          </w:p>
        </w:tc>
      </w:tr>
    </w:tbl>
    <w:p>
      <w:r>
        <w:br w:type="page"/>
      </w:r>
    </w:p>
    <w:p>
      <w:pPr>
        <w:pStyle w:val="Heading1"/>
        <w:pBdr>
          <w:bottom w:val="single" w:color="00A8A8" w:sz="12" w:space="4"/>
        </w:pBdr>
        <w:spacing w:after="160" w:before="360"/>
      </w:pPr>
      <w:r>
        <w:rPr>
          <w:rFonts w:ascii="Calibri" w:cs="Calibri" w:eastAsia="Calibri" w:hAnsi="Calibri"/>
          <w:b/>
          <w:bCs/>
          <w:color w:val="0B1F3A"/>
          <w:sz w:val="30"/>
          <w:szCs w:val="30"/>
        </w:rPr>
        <w:t xml:space="preserve">11. Webhooks</w:t>
      </w:r>
    </w:p>
    <w:p>
      <w:pPr>
        <w:spacing w:after="160" w:line="300"/>
        <w:jc w:val="both"/>
      </w:pPr>
      <w:r>
        <w:rPr>
          <w:rFonts w:ascii="Calibri" w:cs="Calibri" w:eastAsia="Calibri" w:hAnsi="Calibri"/>
          <w:color w:val="33404A"/>
          <w:sz w:val="20"/>
          <w:szCs w:val="20"/>
        </w:rPr>
        <w:t xml:space="preserve">In addition to the synchronous scoring response, the API can push asynchronous events to a client-configured webhook endpoint — useful for downstream systems (case management, analytics) that don't sit in the synchronous request path.</w:t>
      </w:r>
    </w:p>
    <w:tbl>
      <w:tblPr>
        <w:tblW w:type="pct" w:w="100%"/>
        <w:tblBorders>
          <w:top w:val="single" w:color="D6DEE5" w:sz="4"/>
          <w:left w:val="single" w:color="D6DEE5" w:sz="4"/>
          <w:bottom w:val="single" w:color="D6DEE5" w:sz="4"/>
          <w:right w:val="single" w:color="D6DEE5" w:sz="4"/>
          <w:insideH w:val="single" w:color="D6DEE5" w:sz="4"/>
          <w:insideV w:val="single" w:color="D6DEE5" w:sz="4"/>
        </w:tblBorders>
      </w:tblPr>
      <w:tblGrid>
        <w:gridCol w:w="2200"/>
        <w:gridCol w:w="4300"/>
        <w:gridCol w:w="3000"/>
      </w:tblGrid>
      <w:tr>
        <w:trPr>
          <w:tblHeader/>
        </w:trPr>
        <w:tc>
          <w:tcPr>
            <w:tcW w:type="dxa" w:w="2200"/>
            <w:shd w:fill="1F4E79" w:color="auto" w:val="clear"/>
            <w:tcMar>
              <w:top w:type="dxa" w:w="90"/>
              <w:left w:type="dxa" w:w="110"/>
              <w:bottom w:type="dxa" w:w="90"/>
              <w:right w:type="dxa" w:w="110"/>
            </w:tcMar>
            <w:vAlign w:val="center"/>
          </w:tcPr>
          <w:p>
            <w:r>
              <w:rPr>
                <w:rFonts w:ascii="Calibri" w:cs="Calibri" w:eastAsia="Calibri" w:hAnsi="Calibri"/>
                <w:b/>
                <w:bCs/>
                <w:color w:val="FFFFFF"/>
                <w:sz w:val="18"/>
                <w:szCs w:val="18"/>
              </w:rPr>
              <w:t xml:space="preserve">Event</w:t>
            </w:r>
          </w:p>
        </w:tc>
        <w:tc>
          <w:tcPr>
            <w:tcW w:type="dxa" w:w="4300"/>
            <w:shd w:fill="1F4E79" w:color="auto" w:val="clear"/>
            <w:tcMar>
              <w:top w:type="dxa" w:w="90"/>
              <w:left w:type="dxa" w:w="110"/>
              <w:bottom w:type="dxa" w:w="90"/>
              <w:right w:type="dxa" w:w="110"/>
            </w:tcMar>
            <w:vAlign w:val="center"/>
          </w:tcPr>
          <w:p>
            <w:r>
              <w:rPr>
                <w:rFonts w:ascii="Calibri" w:cs="Calibri" w:eastAsia="Calibri" w:hAnsi="Calibri"/>
                <w:b/>
                <w:bCs/>
                <w:color w:val="FFFFFF"/>
                <w:sz w:val="18"/>
                <w:szCs w:val="18"/>
              </w:rPr>
              <w:t xml:space="preserve">Trigger</w:t>
            </w:r>
          </w:p>
        </w:tc>
        <w:tc>
          <w:tcPr>
            <w:tcW w:type="dxa" w:w="3000"/>
            <w:shd w:fill="1F4E79" w:color="auto" w:val="clear"/>
            <w:tcMar>
              <w:top w:type="dxa" w:w="90"/>
              <w:left w:type="dxa" w:w="110"/>
              <w:bottom w:type="dxa" w:w="90"/>
              <w:right w:type="dxa" w:w="110"/>
            </w:tcMar>
            <w:vAlign w:val="center"/>
          </w:tcPr>
          <w:p>
            <w:r>
              <w:rPr>
                <w:rFonts w:ascii="Calibri" w:cs="Calibri" w:eastAsia="Calibri" w:hAnsi="Calibri"/>
                <w:b/>
                <w:bCs/>
                <w:color w:val="FFFFFF"/>
                <w:sz w:val="18"/>
                <w:szCs w:val="18"/>
              </w:rPr>
              <w:t xml:space="preserve">Payload</w:t>
            </w:r>
          </w:p>
        </w:tc>
      </w:tr>
      <w:tr>
        <w:tc>
          <w:tcPr>
            <w:tcW w:type="dxa" w:w="22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score.completed</w:t>
            </w:r>
          </w:p>
        </w:tc>
        <w:tc>
          <w:tcPr>
            <w:tcW w:type="dxa" w:w="43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Emitted immediately after every /v1/score response.</w:t>
            </w:r>
          </w:p>
        </w:tc>
        <w:tc>
          <w:tcPr>
            <w:tcW w:type="dxa" w:w="30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Same shape as the synchronous score response.</w:t>
            </w:r>
          </w:p>
        </w:tc>
      </w:tr>
      <w:tr>
        <w:tc>
          <w:tcPr>
            <w:tcW w:type="dxa" w:w="2200"/>
            <w:shd w:fill="F2F6F9"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score.reviewed</w:t>
            </w:r>
          </w:p>
        </w:tc>
        <w:tc>
          <w:tcPr>
            <w:tcW w:type="dxa" w:w="4300"/>
            <w:shd w:fill="F2F6F9"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Emitted when a MANUAL_REVIEW case is resolved by a human analyst.</w:t>
            </w:r>
          </w:p>
        </w:tc>
        <w:tc>
          <w:tcPr>
            <w:tcW w:type="dxa" w:w="3000"/>
            <w:shd w:fill="F2F6F9"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application_id, resolution, analyst_id, resolved_at.</w:t>
            </w:r>
          </w:p>
        </w:tc>
      </w:tr>
      <w:tr>
        <w:tc>
          <w:tcPr>
            <w:tcW w:type="dxa" w:w="22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model.deployed</w:t>
            </w:r>
          </w:p>
        </w:tc>
        <w:tc>
          <w:tcPr>
            <w:tcW w:type="dxa" w:w="43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Emitted when a new model_version is promoted to production.</w:t>
            </w:r>
          </w:p>
        </w:tc>
        <w:tc>
          <w:tcPr>
            <w:tcW w:type="dxa" w:w="30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model_version, deployed_at, changelog_url.</w:t>
            </w:r>
          </w:p>
        </w:tc>
      </w:tr>
    </w:tbl>
    <w:p>
      <w:pPr>
        <w:spacing w:after="120"/>
      </w:pPr>
    </w:p>
    <w:p>
      <w:pPr>
        <w:spacing w:after="160" w:line="300"/>
        <w:jc w:val="both"/>
      </w:pPr>
      <w:r>
        <w:rPr>
          <w:rFonts w:ascii="Calibri" w:cs="Calibri" w:eastAsia="Calibri" w:hAnsi="Calibri"/>
          <w:color w:val="33404A"/>
          <w:sz w:val="20"/>
          <w:szCs w:val="20"/>
        </w:rPr>
        <w:t xml:space="preserve">Webhook deliveries are signed with the same HMAC scheme as inbound requests (see Section 2.2) and include an X-Signature header so receivers can verify authenticity. Failed deliveries are retried with exponential backoff for up to 24 hours before being marked dead and surfaced in the client dashboard.</w:t>
      </w:r>
    </w:p>
    <w:p>
      <w:pPr>
        <w:pStyle w:val="Heading1"/>
        <w:pBdr>
          <w:bottom w:val="single" w:color="00A8A8" w:sz="12" w:space="4"/>
        </w:pBdr>
        <w:spacing w:after="160" w:before="360"/>
      </w:pPr>
      <w:r>
        <w:rPr>
          <w:rFonts w:ascii="Calibri" w:cs="Calibri" w:eastAsia="Calibri" w:hAnsi="Calibri"/>
          <w:b/>
          <w:bCs/>
          <w:color w:val="0B1F3A"/>
          <w:sz w:val="30"/>
          <w:szCs w:val="30"/>
        </w:rPr>
        <w:t xml:space="preserve">12. Latency, Caching &amp; Performance</w:t>
      </w:r>
    </w:p>
    <w:p>
      <w:pPr>
        <w:spacing w:after="160" w:line="300"/>
        <w:jc w:val="both"/>
      </w:pPr>
      <w:r>
        <w:rPr>
          <w:rFonts w:ascii="Calibri" w:cs="Calibri" w:eastAsia="Calibri" w:hAnsi="Calibri"/>
          <w:color w:val="33404A"/>
          <w:sz w:val="20"/>
          <w:szCs w:val="20"/>
        </w:rPr>
        <w:t xml:space="preserve">The sub-100ms P95 latency target is met through a combination of a pre-warmed Redis feature cache, model weights held in memory on every application instance (no per-request disk or network model load), and horizontal auto-scaling tied to request-queue depth rather than raw CPU, so capacity responds ahead of saturation.</w:t>
      </w:r>
    </w:p>
    <w:tbl>
      <w:tblPr>
        <w:tblW w:type="pct" w:w="100%"/>
        <w:tblBorders>
          <w:top w:val="single" w:color="D6DEE5" w:sz="4"/>
          <w:left w:val="single" w:color="D6DEE5" w:sz="4"/>
          <w:bottom w:val="single" w:color="D6DEE5" w:sz="4"/>
          <w:right w:val="single" w:color="D6DEE5" w:sz="4"/>
          <w:insideH w:val="single" w:color="D6DEE5" w:sz="4"/>
          <w:insideV w:val="single" w:color="D6DEE5" w:sz="4"/>
        </w:tblBorders>
      </w:tblPr>
      <w:tblGrid>
        <w:gridCol w:w="3000"/>
        <w:gridCol w:w="2300"/>
        <w:gridCol w:w="4200"/>
      </w:tblGrid>
      <w:tr>
        <w:trPr>
          <w:tblHeader/>
        </w:trPr>
        <w:tc>
          <w:tcPr>
            <w:tcW w:type="dxa" w:w="3000"/>
            <w:shd w:fill="1F4E79" w:color="auto" w:val="clear"/>
            <w:tcMar>
              <w:top w:type="dxa" w:w="90"/>
              <w:left w:type="dxa" w:w="110"/>
              <w:bottom w:type="dxa" w:w="90"/>
              <w:right w:type="dxa" w:w="110"/>
            </w:tcMar>
            <w:vAlign w:val="center"/>
          </w:tcPr>
          <w:p>
            <w:r>
              <w:rPr>
                <w:rFonts w:ascii="Calibri" w:cs="Calibri" w:eastAsia="Calibri" w:hAnsi="Calibri"/>
                <w:b/>
                <w:bCs/>
                <w:color w:val="FFFFFF"/>
                <w:sz w:val="18"/>
                <w:szCs w:val="18"/>
              </w:rPr>
              <w:t xml:space="preserve">Stage</w:t>
            </w:r>
          </w:p>
        </w:tc>
        <w:tc>
          <w:tcPr>
            <w:tcW w:type="dxa" w:w="2300"/>
            <w:shd w:fill="1F4E79" w:color="auto" w:val="clear"/>
            <w:tcMar>
              <w:top w:type="dxa" w:w="90"/>
              <w:left w:type="dxa" w:w="110"/>
              <w:bottom w:type="dxa" w:w="90"/>
              <w:right w:type="dxa" w:w="110"/>
            </w:tcMar>
            <w:vAlign w:val="center"/>
          </w:tcPr>
          <w:p>
            <w:r>
              <w:rPr>
                <w:rFonts w:ascii="Calibri" w:cs="Calibri" w:eastAsia="Calibri" w:hAnsi="Calibri"/>
                <w:b/>
                <w:bCs/>
                <w:color w:val="FFFFFF"/>
                <w:sz w:val="18"/>
                <w:szCs w:val="18"/>
              </w:rPr>
              <w:t xml:space="preserve">Typical latency</w:t>
            </w:r>
          </w:p>
        </w:tc>
        <w:tc>
          <w:tcPr>
            <w:tcW w:type="dxa" w:w="4200"/>
            <w:shd w:fill="1F4E79" w:color="auto" w:val="clear"/>
            <w:tcMar>
              <w:top w:type="dxa" w:w="90"/>
              <w:left w:type="dxa" w:w="110"/>
              <w:bottom w:type="dxa" w:w="90"/>
              <w:right w:type="dxa" w:w="110"/>
            </w:tcMar>
            <w:vAlign w:val="center"/>
          </w:tcPr>
          <w:p>
            <w:r>
              <w:rPr>
                <w:rFonts w:ascii="Calibri" w:cs="Calibri" w:eastAsia="Calibri" w:hAnsi="Calibri"/>
                <w:b/>
                <w:bCs/>
                <w:color w:val="FFFFFF"/>
                <w:sz w:val="18"/>
                <w:szCs w:val="18"/>
              </w:rPr>
              <w:t xml:space="preserve">Notes</w:t>
            </w:r>
          </w:p>
        </w:tc>
      </w:tr>
      <w:tr>
        <w:tc>
          <w:tcPr>
            <w:tcW w:type="dxa" w:w="30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Auth &amp; signature verification</w:t>
            </w:r>
          </w:p>
        </w:tc>
        <w:tc>
          <w:tcPr>
            <w:tcW w:type="dxa" w:w="23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~3 ms</w:t>
            </w:r>
          </w:p>
        </w:tc>
        <w:tc>
          <w:tcPr>
            <w:tcW w:type="dxa" w:w="42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In-memory token cache; no round-trip to identity provider per request.</w:t>
            </w:r>
          </w:p>
        </w:tc>
      </w:tr>
      <w:tr>
        <w:tc>
          <w:tcPr>
            <w:tcW w:type="dxa" w:w="3000"/>
            <w:shd w:fill="F2F6F9"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Feature assembly (cache hit)</w:t>
            </w:r>
          </w:p>
        </w:tc>
        <w:tc>
          <w:tcPr>
            <w:tcW w:type="dxa" w:w="2300"/>
            <w:shd w:fill="F2F6F9"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~15 ms</w:t>
            </w:r>
          </w:p>
        </w:tc>
        <w:tc>
          <w:tcPr>
            <w:tcW w:type="dxa" w:w="4200"/>
            <w:shd w:fill="F2F6F9"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Redis lookup for rolling-window behavioural features.</w:t>
            </w:r>
          </w:p>
        </w:tc>
      </w:tr>
      <w:tr>
        <w:tc>
          <w:tcPr>
            <w:tcW w:type="dxa" w:w="30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Feature assembly (cache miss)</w:t>
            </w:r>
          </w:p>
        </w:tc>
        <w:tc>
          <w:tcPr>
            <w:tcW w:type="dxa" w:w="23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~40 ms</w:t>
            </w:r>
          </w:p>
        </w:tc>
        <w:tc>
          <w:tcPr>
            <w:tcW w:type="dxa" w:w="42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Recomputed from source tables; rare after cache warm-up.</w:t>
            </w:r>
          </w:p>
        </w:tc>
      </w:tr>
      <w:tr>
        <w:tc>
          <w:tcPr>
            <w:tcW w:type="dxa" w:w="3000"/>
            <w:shd w:fill="F2F6F9"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Ensemble inference</w:t>
            </w:r>
          </w:p>
        </w:tc>
        <w:tc>
          <w:tcPr>
            <w:tcW w:type="dxa" w:w="2300"/>
            <w:shd w:fill="F2F6F9"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~25 ms</w:t>
            </w:r>
          </w:p>
        </w:tc>
        <w:tc>
          <w:tcPr>
            <w:tcW w:type="dxa" w:w="4200"/>
            <w:shd w:fill="F2F6F9"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XGBoost + DeepFF forward pass, blended.</w:t>
            </w:r>
          </w:p>
        </w:tc>
      </w:tr>
      <w:tr>
        <w:tc>
          <w:tcPr>
            <w:tcW w:type="dxa" w:w="30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SHAP explanation generation</w:t>
            </w:r>
          </w:p>
        </w:tc>
        <w:tc>
          <w:tcPr>
            <w:tcW w:type="dxa" w:w="23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~18 ms</w:t>
            </w:r>
          </w:p>
        </w:tc>
        <w:tc>
          <w:tcPr>
            <w:tcW w:type="dxa" w:w="42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Computed only for the top-contributing feature subset.</w:t>
            </w:r>
          </w:p>
        </w:tc>
      </w:tr>
      <w:tr>
        <w:tc>
          <w:tcPr>
            <w:tcW w:type="dxa" w:w="3000"/>
            <w:shd w:fill="F2F6F9"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Response serialization &amp; network</w:t>
            </w:r>
          </w:p>
        </w:tc>
        <w:tc>
          <w:tcPr>
            <w:tcW w:type="dxa" w:w="2300"/>
            <w:shd w:fill="F2F6F9"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~5 ms</w:t>
            </w:r>
          </w:p>
        </w:tc>
        <w:tc>
          <w:tcPr>
            <w:tcW w:type="dxa" w:w="4200"/>
            <w:shd w:fill="F2F6F9"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w:t>
            </w:r>
          </w:p>
        </w:tc>
      </w:tr>
    </w:tbl>
    <w:p>
      <w:pPr>
        <w:pStyle w:val="Heading1"/>
        <w:pBdr>
          <w:bottom w:val="single" w:color="00A8A8" w:sz="12" w:space="4"/>
        </w:pBdr>
        <w:spacing w:after="160" w:before="360"/>
      </w:pPr>
      <w:r>
        <w:rPr>
          <w:rFonts w:ascii="Calibri" w:cs="Calibri" w:eastAsia="Calibri" w:hAnsi="Calibri"/>
          <w:b/>
          <w:bCs/>
          <w:color w:val="0B1F3A"/>
          <w:sz w:val="30"/>
          <w:szCs w:val="30"/>
        </w:rPr>
        <w:t xml:space="preserve">13. Versioning &amp; Changelog</w:t>
      </w:r>
    </w:p>
    <w:p>
      <w:pPr>
        <w:spacing w:after="160" w:line="300"/>
        <w:jc w:val="both"/>
      </w:pPr>
      <w:r>
        <w:rPr>
          <w:rFonts w:ascii="Calibri" w:cs="Calibri" w:eastAsia="Calibri" w:hAnsi="Calibri"/>
          <w:color w:val="33404A"/>
          <w:sz w:val="20"/>
          <w:szCs w:val="20"/>
        </w:rPr>
        <w:t xml:space="preserve">The API is versioned in the URL path (/v1, /v2, ...). Breaking changes are only introduced in a new major version; a deprecated version remains supported for a minimum of 6 months after its successor ships, with deprecation notices sent via the model.deployed webhook and email to registered integration contacts.</w:t>
      </w:r>
    </w:p>
    <w:tbl>
      <w:tblPr>
        <w:tblW w:type="pct" w:w="100%"/>
        <w:tblBorders>
          <w:top w:val="single" w:color="D6DEE5" w:sz="4"/>
          <w:left w:val="single" w:color="D6DEE5" w:sz="4"/>
          <w:bottom w:val="single" w:color="D6DEE5" w:sz="4"/>
          <w:right w:val="single" w:color="D6DEE5" w:sz="4"/>
          <w:insideH w:val="single" w:color="D6DEE5" w:sz="4"/>
          <w:insideV w:val="single" w:color="D6DEE5" w:sz="4"/>
        </w:tblBorders>
      </w:tblPr>
      <w:tblGrid>
        <w:gridCol w:w="1400"/>
        <w:gridCol w:w="1900"/>
        <w:gridCol w:w="6200"/>
      </w:tblGrid>
      <w:tr>
        <w:trPr>
          <w:tblHeader/>
        </w:trPr>
        <w:tc>
          <w:tcPr>
            <w:tcW w:type="dxa" w:w="1400"/>
            <w:shd w:fill="1F4E79" w:color="auto" w:val="clear"/>
            <w:tcMar>
              <w:top w:type="dxa" w:w="90"/>
              <w:left w:type="dxa" w:w="110"/>
              <w:bottom w:type="dxa" w:w="90"/>
              <w:right w:type="dxa" w:w="110"/>
            </w:tcMar>
            <w:vAlign w:val="center"/>
          </w:tcPr>
          <w:p>
            <w:r>
              <w:rPr>
                <w:rFonts w:ascii="Calibri" w:cs="Calibri" w:eastAsia="Calibri" w:hAnsi="Calibri"/>
                <w:b/>
                <w:bCs/>
                <w:color w:val="FFFFFF"/>
                <w:sz w:val="18"/>
                <w:szCs w:val="18"/>
              </w:rPr>
              <w:t xml:space="preserve">Version</w:t>
            </w:r>
          </w:p>
        </w:tc>
        <w:tc>
          <w:tcPr>
            <w:tcW w:type="dxa" w:w="1900"/>
            <w:shd w:fill="1F4E79" w:color="auto" w:val="clear"/>
            <w:tcMar>
              <w:top w:type="dxa" w:w="90"/>
              <w:left w:type="dxa" w:w="110"/>
              <w:bottom w:type="dxa" w:w="90"/>
              <w:right w:type="dxa" w:w="110"/>
            </w:tcMar>
            <w:vAlign w:val="center"/>
          </w:tcPr>
          <w:p>
            <w:r>
              <w:rPr>
                <w:rFonts w:ascii="Calibri" w:cs="Calibri" w:eastAsia="Calibri" w:hAnsi="Calibri"/>
                <w:b/>
                <w:bCs/>
                <w:color w:val="FFFFFF"/>
                <w:sz w:val="18"/>
                <w:szCs w:val="18"/>
              </w:rPr>
              <w:t xml:space="preserve">Date</w:t>
            </w:r>
          </w:p>
        </w:tc>
        <w:tc>
          <w:tcPr>
            <w:tcW w:type="dxa" w:w="6200"/>
            <w:shd w:fill="1F4E79" w:color="auto" w:val="clear"/>
            <w:tcMar>
              <w:top w:type="dxa" w:w="90"/>
              <w:left w:type="dxa" w:w="110"/>
              <w:bottom w:type="dxa" w:w="90"/>
              <w:right w:type="dxa" w:w="110"/>
            </w:tcMar>
            <w:vAlign w:val="center"/>
          </w:tcPr>
          <w:p>
            <w:r>
              <w:rPr>
                <w:rFonts w:ascii="Calibri" w:cs="Calibri" w:eastAsia="Calibri" w:hAnsi="Calibri"/>
                <w:b/>
                <w:bCs/>
                <w:color w:val="FFFFFF"/>
                <w:sz w:val="18"/>
                <w:szCs w:val="18"/>
              </w:rPr>
              <w:t xml:space="preserve">Changes</w:t>
            </w:r>
          </w:p>
        </w:tc>
      </w:tr>
      <w:tr>
        <w:tc>
          <w:tcPr>
            <w:tcW w:type="dxa" w:w="14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v1.3</w:t>
            </w:r>
          </w:p>
        </w:tc>
        <w:tc>
          <w:tcPr>
            <w:tcW w:type="dxa" w:w="19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March 2026</w:t>
            </w:r>
          </w:p>
        </w:tc>
        <w:tc>
          <w:tcPr>
            <w:tcW w:type="dxa" w:w="62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Added explanation.top_features to score response; go-live on 100% of production traffic.</w:t>
            </w:r>
          </w:p>
        </w:tc>
      </w:tr>
      <w:tr>
        <w:tc>
          <w:tcPr>
            <w:tcW w:type="dxa" w:w="1400"/>
            <w:shd w:fill="F2F6F9"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v1.2</w:t>
            </w:r>
          </w:p>
        </w:tc>
        <w:tc>
          <w:tcPr>
            <w:tcW w:type="dxa" w:w="1900"/>
            <w:shd w:fill="F2F6F9"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February 2026</w:t>
            </w:r>
          </w:p>
        </w:tc>
        <w:tc>
          <w:tcPr>
            <w:tcW w:type="dxa" w:w="6200"/>
            <w:shd w:fill="F2F6F9"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Added POST /feedback endpoint for outcome reporting into the retraining pipeline.</w:t>
            </w:r>
          </w:p>
        </w:tc>
      </w:tr>
      <w:tr>
        <w:tc>
          <w:tcPr>
            <w:tcW w:type="dxa" w:w="14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v1.1</w:t>
            </w:r>
          </w:p>
        </w:tc>
        <w:tc>
          <w:tcPr>
            <w:tcW w:type="dxa" w:w="19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February 2026</w:t>
            </w:r>
          </w:p>
        </w:tc>
        <w:tc>
          <w:tcPr>
            <w:tcW w:type="dxa" w:w="62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Introduced idempotency_key support; tightened HMAC timestamp skew to 60 seconds.</w:t>
            </w:r>
          </w:p>
        </w:tc>
      </w:tr>
      <w:tr>
        <w:tc>
          <w:tcPr>
            <w:tcW w:type="dxa" w:w="1400"/>
            <w:shd w:fill="F2F6F9"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v1.0</w:t>
            </w:r>
          </w:p>
        </w:tc>
        <w:tc>
          <w:tcPr>
            <w:tcW w:type="dxa" w:w="1900"/>
            <w:shd w:fill="F2F6F9"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January 2026</w:t>
            </w:r>
          </w:p>
        </w:tc>
        <w:tc>
          <w:tcPr>
            <w:tcW w:type="dxa" w:w="6200"/>
            <w:shd w:fill="F2F6F9"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Initial release for A/B testing against 20% of live traffic.</w:t>
            </w:r>
          </w:p>
        </w:tc>
      </w:tr>
    </w:tbl>
    <w:p>
      <w:r>
        <w:br w:type="page"/>
      </w:r>
    </w:p>
    <w:p>
      <w:pPr>
        <w:pStyle w:val="Heading1"/>
        <w:pBdr>
          <w:bottom w:val="single" w:color="00A8A8" w:sz="12" w:space="4"/>
        </w:pBdr>
        <w:spacing w:after="160" w:before="360"/>
      </w:pPr>
      <w:r>
        <w:rPr>
          <w:rFonts w:ascii="Calibri" w:cs="Calibri" w:eastAsia="Calibri" w:hAnsi="Calibri"/>
          <w:b/>
          <w:bCs/>
          <w:color w:val="0B1F3A"/>
          <w:sz w:val="30"/>
          <w:szCs w:val="30"/>
        </w:rPr>
        <w:t xml:space="preserve">14. Security &amp; Compliance</w:t>
      </w:r>
    </w:p>
    <w:p>
      <w:pPr>
        <w:pStyle w:val="ListParagraph"/>
        <w:numPr>
          <w:ilvl w:val="0"/>
          <w:numId w:val="1"/>
        </w:numPr>
        <w:spacing w:after="100" w:line="280"/>
      </w:pPr>
      <w:r>
        <w:rPr>
          <w:rFonts w:ascii="Calibri" w:cs="Calibri" w:eastAsia="Calibri" w:hAnsi="Calibri"/>
          <w:b/>
          <w:bCs/>
          <w:color w:val="33404A"/>
          <w:sz w:val="20"/>
          <w:szCs w:val="20"/>
        </w:rPr>
        <w:t xml:space="preserve">Transport security — </w:t>
      </w:r>
      <w:r>
        <w:rPr>
          <w:rFonts w:ascii="Calibri" w:cs="Calibri" w:eastAsia="Calibri" w:hAnsi="Calibri"/>
          <w:color w:val="33404A"/>
          <w:sz w:val="20"/>
          <w:szCs w:val="20"/>
        </w:rPr>
        <w:t xml:space="preserve">all traffic is TLS 1.2+ only; plaintext HTTP requests are rejected at the load balancer.</w:t>
      </w:r>
    </w:p>
    <w:p>
      <w:pPr>
        <w:pStyle w:val="ListParagraph"/>
        <w:numPr>
          <w:ilvl w:val="0"/>
          <w:numId w:val="1"/>
        </w:numPr>
        <w:spacing w:after="100" w:line="280"/>
      </w:pPr>
      <w:r>
        <w:rPr>
          <w:rFonts w:ascii="Calibri" w:cs="Calibri" w:eastAsia="Calibri" w:hAnsi="Calibri"/>
          <w:b/>
          <w:bCs/>
          <w:color w:val="33404A"/>
          <w:sz w:val="20"/>
          <w:szCs w:val="20"/>
        </w:rPr>
        <w:t xml:space="preserve">Authentication &amp; integrity — </w:t>
      </w:r>
      <w:r>
        <w:rPr>
          <w:rFonts w:ascii="Calibri" w:cs="Calibri" w:eastAsia="Calibri" w:hAnsi="Calibri"/>
          <w:color w:val="33404A"/>
          <w:sz w:val="20"/>
          <w:szCs w:val="20"/>
        </w:rPr>
        <w:t xml:space="preserve">OAuth2 bearer tokens plus HMAC request signing, as described in Section 2.</w:t>
      </w:r>
    </w:p>
    <w:p>
      <w:pPr>
        <w:pStyle w:val="ListParagraph"/>
        <w:numPr>
          <w:ilvl w:val="0"/>
          <w:numId w:val="1"/>
        </w:numPr>
        <w:spacing w:after="100" w:line="280"/>
      </w:pPr>
      <w:r>
        <w:rPr>
          <w:rFonts w:ascii="Calibri" w:cs="Calibri" w:eastAsia="Calibri" w:hAnsi="Calibri"/>
          <w:b/>
          <w:bCs/>
          <w:color w:val="33404A"/>
          <w:sz w:val="20"/>
          <w:szCs w:val="20"/>
        </w:rPr>
        <w:t xml:space="preserve">Data handling — </w:t>
      </w:r>
      <w:r>
        <w:rPr>
          <w:rFonts w:ascii="Calibri" w:cs="Calibri" w:eastAsia="Calibri" w:hAnsi="Calibri"/>
          <w:color w:val="33404A"/>
          <w:sz w:val="20"/>
          <w:szCs w:val="20"/>
        </w:rPr>
        <w:t xml:space="preserve">no personally identifiable information is logged in plaintext; device and IP fields are hashed at ingestion.</w:t>
      </w:r>
    </w:p>
    <w:p>
      <w:pPr>
        <w:pStyle w:val="ListParagraph"/>
        <w:numPr>
          <w:ilvl w:val="0"/>
          <w:numId w:val="1"/>
        </w:numPr>
        <w:spacing w:after="100" w:line="280"/>
      </w:pPr>
      <w:r>
        <w:rPr>
          <w:rFonts w:ascii="Calibri" w:cs="Calibri" w:eastAsia="Calibri" w:hAnsi="Calibri"/>
          <w:b/>
          <w:bCs/>
          <w:color w:val="33404A"/>
          <w:sz w:val="20"/>
          <w:szCs w:val="20"/>
        </w:rPr>
        <w:t xml:space="preserve">Explainability — </w:t>
      </w:r>
      <w:r>
        <w:rPr>
          <w:rFonts w:ascii="Calibri" w:cs="Calibri" w:eastAsia="Calibri" w:hAnsi="Calibri"/>
          <w:color w:val="33404A"/>
          <w:sz w:val="20"/>
          <w:szCs w:val="20"/>
        </w:rPr>
        <w:t xml:space="preserve">every score response includes SHAP-based feature attribution so declines can be explained to compliance reviewers and, where required, to applicants.</w:t>
      </w:r>
    </w:p>
    <w:p>
      <w:pPr>
        <w:pStyle w:val="ListParagraph"/>
        <w:numPr>
          <w:ilvl w:val="0"/>
          <w:numId w:val="1"/>
        </w:numPr>
        <w:spacing w:after="100" w:line="280"/>
      </w:pPr>
      <w:r>
        <w:rPr>
          <w:rFonts w:ascii="Calibri" w:cs="Calibri" w:eastAsia="Calibri" w:hAnsi="Calibri"/>
          <w:b/>
          <w:bCs/>
          <w:color w:val="33404A"/>
          <w:sz w:val="20"/>
          <w:szCs w:val="20"/>
        </w:rPr>
        <w:t xml:space="preserve">Audit trail — </w:t>
      </w:r>
      <w:r>
        <w:rPr>
          <w:rFonts w:ascii="Calibri" w:cs="Calibri" w:eastAsia="Calibri" w:hAnsi="Calibri"/>
          <w:color w:val="33404A"/>
          <w:sz w:val="20"/>
          <w:szCs w:val="20"/>
        </w:rPr>
        <w:t xml:space="preserve">all requests, responses, and feedback events are retained for 7 years in an immutable audit log for regulatory review.</w:t>
      </w:r>
    </w:p>
    <w:p>
      <w:pPr>
        <w:spacing w:after="120"/>
      </w:pPr>
    </w:p>
    <w:tbl>
      <w:tblPr>
        <w:tblW w:type="pct" w:w="100%"/>
        <w:tblBorders>
          <w:top w:val="single" w:color="E7F1F7" w:sz="4"/>
          <w:left w:val="single" w:color="1F4E79" w:sz="24"/>
          <w:bottom w:val="single" w:color="E7F1F7" w:sz="4"/>
          <w:right w:val="single" w:color="E7F1F7" w:sz="4"/>
          <w:insideH w:val="single" w:color="auto" w:sz="4"/>
          <w:insideV w:val="single" w:color="auto" w:sz="4"/>
        </w:tblBorders>
      </w:tblPr>
      <w:tblGrid>
        <w:gridCol w:w="100"/>
      </w:tblGrid>
      <w:tr>
        <w:tc>
          <w:tcPr>
            <w:shd w:fill="E7F1F7" w:color="auto" w:val="clear"/>
            <w:tcMar>
              <w:top w:type="dxa" w:w="130"/>
              <w:left w:type="dxa" w:w="180"/>
              <w:bottom w:type="dxa" w:w="130"/>
              <w:right w:type="dxa" w:w="180"/>
            </w:tcMar>
          </w:tcPr>
          <w:p>
            <w:pPr>
              <w:spacing w:after="40"/>
            </w:pPr>
            <w:r>
              <w:rPr>
                <w:rFonts w:ascii="Calibri" w:cs="Calibri" w:eastAsia="Calibri" w:hAnsi="Calibri"/>
                <w:b/>
                <w:bCs/>
                <w:color w:val="1F4E79"/>
                <w:sz w:val="19"/>
                <w:szCs w:val="19"/>
              </w:rPr>
              <w:t xml:space="preserve">Data residency</w:t>
            </w:r>
          </w:p>
          <w:p>
            <w:r>
              <w:rPr>
                <w:rFonts w:ascii="Calibri" w:cs="Calibri" w:eastAsia="Calibri" w:hAnsi="Calibri"/>
                <w:color w:val="33404A"/>
                <w:sz w:val="19"/>
                <w:szCs w:val="19"/>
              </w:rPr>
              <w:t xml:space="preserve">All scoring data is processed and stored within the AWS region specified in the client's data processing agreement; no data is transferred outside that region except for encrypted, access-controlled backups. See Deployment_Architecture.pdf for regional topology.</w:t>
            </w:r>
          </w:p>
        </w:tc>
      </w:tr>
    </w:tbl>
    <w:p>
      <w:pPr>
        <w:spacing w:after="120"/>
      </w:pPr>
    </w:p>
    <w:p>
      <w:pPr>
        <w:pStyle w:val="Heading1"/>
        <w:pBdr>
          <w:bottom w:val="single" w:color="00A8A8" w:sz="12" w:space="4"/>
        </w:pBdr>
        <w:spacing w:after="160" w:before="360"/>
      </w:pPr>
      <w:r>
        <w:rPr>
          <w:rFonts w:ascii="Calibri" w:cs="Calibri" w:eastAsia="Calibri" w:hAnsi="Calibri"/>
          <w:b/>
          <w:bCs/>
          <w:color w:val="0B1F3A"/>
          <w:sz w:val="30"/>
          <w:szCs w:val="30"/>
        </w:rPr>
        <w:t xml:space="preserve">15. Code Examples</w:t>
      </w:r>
    </w:p>
    <w:p>
      <w:pPr>
        <w:spacing w:after="80" w:before="180"/>
      </w:pPr>
      <w:r>
        <w:rPr>
          <w:rFonts w:ascii="Calibri" w:cs="Calibri" w:eastAsia="Calibri" w:hAnsi="Calibri"/>
          <w:b/>
          <w:bCs/>
          <w:color w:val="1F4E79"/>
          <w:sz w:val="21"/>
          <w:szCs w:val="21"/>
        </w:rPr>
        <w:t xml:space="preserve">15.1 cURL</w:t>
      </w:r>
    </w:p>
    <w:tbl>
      <w:tblPr>
        <w:tblW w:type="pct" w:w="100%"/>
        <w:tblBorders>
          <w:top w:val="single" w:color="0F1720" w:sz="4"/>
          <w:left w:val="single" w:color="0F1720" w:sz="4"/>
          <w:bottom w:val="single" w:color="0F1720" w:sz="4"/>
          <w:right w:val="single" w:color="0F1720" w:sz="4"/>
          <w:insideH w:val="single" w:color="auto" w:sz="4"/>
          <w:insideV w:val="single" w:color="auto" w:sz="4"/>
        </w:tblBorders>
      </w:tblPr>
      <w:tblGrid>
        <w:gridCol w:w="100"/>
      </w:tblGrid>
      <w:tr>
        <w:tc>
          <w:tcPr>
            <w:shd w:fill="1E2A38" w:color="auto" w:val="clear"/>
            <w:tcMar>
              <w:top w:type="dxa" w:w="160"/>
              <w:left w:type="dxa" w:w="200"/>
              <w:bottom w:type="dxa" w:w="160"/>
              <w:right w:type="dxa" w:w="200"/>
            </w:tcMar>
          </w:tcPr>
          <w:p>
            <w:pPr>
              <w:spacing w:after="20"/>
            </w:pPr>
            <w:r>
              <w:rPr>
                <w:rFonts w:ascii="Consolas" w:cs="Consolas" w:eastAsia="Consolas" w:hAnsi="Consolas"/>
                <w:color w:val="D8E8EA"/>
                <w:sz w:val="18"/>
                <w:szCs w:val="18"/>
              </w:rPr>
              <w:t xml:space="preserve">curl -X POST https://fraud-api.client-lending.electrosoft.io/v1/score \</w:t>
            </w:r>
          </w:p>
          <w:p>
            <w:pPr>
              <w:spacing w:after="20"/>
            </w:pPr>
            <w:r>
              <w:rPr>
                <w:rFonts w:ascii="Consolas" w:cs="Consolas" w:eastAsia="Consolas" w:hAnsi="Consolas"/>
                <w:color w:val="D8E8EA"/>
                <w:sz w:val="18"/>
                <w:szCs w:val="18"/>
              </w:rPr>
              <w:t xml:space="preserve">  -H "Authorization: Bearer $ACCESS_TOKEN" \</w:t>
            </w:r>
          </w:p>
          <w:p>
            <w:pPr>
              <w:spacing w:after="20"/>
            </w:pPr>
            <w:r>
              <w:rPr>
                <w:rFonts w:ascii="Consolas" w:cs="Consolas" w:eastAsia="Consolas" w:hAnsi="Consolas"/>
                <w:color w:val="D8E8EA"/>
                <w:sz w:val="18"/>
                <w:szCs w:val="18"/>
              </w:rPr>
              <w:t xml:space="preserve">  -H "X-Client-Id: los_prod_7f21" \</w:t>
            </w:r>
          </w:p>
          <w:p>
            <w:pPr>
              <w:spacing w:after="20"/>
            </w:pPr>
            <w:r>
              <w:rPr>
                <w:rFonts w:ascii="Consolas" w:cs="Consolas" w:eastAsia="Consolas" w:hAnsi="Consolas"/>
                <w:color w:val="D8E8EA"/>
                <w:sz w:val="18"/>
                <w:szCs w:val="18"/>
              </w:rPr>
              <w:t xml:space="preserve">  -H "X-Timestamp: $(date +%s)" \</w:t>
            </w:r>
          </w:p>
          <w:p>
            <w:pPr>
              <w:spacing w:after="20"/>
            </w:pPr>
            <w:r>
              <w:rPr>
                <w:rFonts w:ascii="Consolas" w:cs="Consolas" w:eastAsia="Consolas" w:hAnsi="Consolas"/>
                <w:color w:val="D8E8EA"/>
                <w:sz w:val="18"/>
                <w:szCs w:val="18"/>
              </w:rPr>
              <w:t xml:space="preserve">  -H "X-Signature: $SIGNATURE" \</w:t>
            </w:r>
          </w:p>
          <w:p>
            <w:pPr>
              <w:spacing w:after="20"/>
            </w:pPr>
            <w:r>
              <w:rPr>
                <w:rFonts w:ascii="Consolas" w:cs="Consolas" w:eastAsia="Consolas" w:hAnsi="Consolas"/>
                <w:color w:val="D8E8EA"/>
                <w:sz w:val="18"/>
                <w:szCs w:val="18"/>
              </w:rPr>
              <w:t xml:space="preserve">  -H "Content-Type: application/json" \</w:t>
            </w:r>
          </w:p>
          <w:p>
            <w:pPr>
              <w:spacing w:after="20"/>
            </w:pPr>
            <w:r>
              <w:rPr>
                <w:rFonts w:ascii="Consolas" w:cs="Consolas" w:eastAsia="Consolas" w:hAnsi="Consolas"/>
                <w:color w:val="D8E8EA"/>
                <w:sz w:val="18"/>
                <w:szCs w:val="18"/>
              </w:rPr>
              <w:t xml:space="preserve">  -d '{"application_id":"app_8f13c9", "applicant": {...}, "loan": {...}}'</w:t>
            </w:r>
          </w:p>
        </w:tc>
      </w:tr>
    </w:tbl>
    <w:p>
      <w:pPr>
        <w:spacing w:after="80" w:before="180"/>
      </w:pPr>
      <w:r>
        <w:rPr>
          <w:rFonts w:ascii="Calibri" w:cs="Calibri" w:eastAsia="Calibri" w:hAnsi="Calibri"/>
          <w:b/>
          <w:bCs/>
          <w:color w:val="1F4E79"/>
          <w:sz w:val="21"/>
          <w:szCs w:val="21"/>
        </w:rPr>
        <w:t xml:space="preserve">15.2 Python</w:t>
      </w:r>
    </w:p>
    <w:tbl>
      <w:tblPr>
        <w:tblW w:type="pct" w:w="100%"/>
        <w:tblBorders>
          <w:top w:val="single" w:color="0F1720" w:sz="4"/>
          <w:left w:val="single" w:color="0F1720" w:sz="4"/>
          <w:bottom w:val="single" w:color="0F1720" w:sz="4"/>
          <w:right w:val="single" w:color="0F1720" w:sz="4"/>
          <w:insideH w:val="single" w:color="auto" w:sz="4"/>
          <w:insideV w:val="single" w:color="auto" w:sz="4"/>
        </w:tblBorders>
      </w:tblPr>
      <w:tblGrid>
        <w:gridCol w:w="100"/>
      </w:tblGrid>
      <w:tr>
        <w:tc>
          <w:tcPr>
            <w:shd w:fill="1E2A38" w:color="auto" w:val="clear"/>
            <w:tcMar>
              <w:top w:type="dxa" w:w="160"/>
              <w:left w:type="dxa" w:w="200"/>
              <w:bottom w:type="dxa" w:w="160"/>
              <w:right w:type="dxa" w:w="200"/>
            </w:tcMar>
          </w:tcPr>
          <w:p>
            <w:pPr>
              <w:spacing w:after="20"/>
            </w:pPr>
            <w:r>
              <w:rPr>
                <w:rFonts w:ascii="Consolas" w:cs="Consolas" w:eastAsia="Consolas" w:hAnsi="Consolas"/>
                <w:color w:val="D8E8EA"/>
                <w:sz w:val="18"/>
                <w:szCs w:val="18"/>
              </w:rPr>
              <w:t xml:space="preserve">import requests, time, hmac, hashlib</w:t>
            </w:r>
          </w:p>
          <w:p>
            <w:pPr>
              <w:spacing w:after="20"/>
            </w:pPr>
            <w:r>
              <w:rPr>
                <w:rFonts w:ascii="Consolas" w:cs="Consolas" w:eastAsia="Consolas" w:hAnsi="Consolas"/>
                <w:color w:val="D8E8EA"/>
                <w:sz w:val="18"/>
                <w:szCs w:val="18"/>
              </w:rPr>
              <w:t xml:space="preserve"> </w:t>
            </w:r>
          </w:p>
          <w:p>
            <w:pPr>
              <w:spacing w:after="20"/>
            </w:pPr>
            <w:r>
              <w:rPr>
                <w:rFonts w:ascii="Consolas" w:cs="Consolas" w:eastAsia="Consolas" w:hAnsi="Consolas"/>
                <w:color w:val="D8E8EA"/>
                <w:sz w:val="18"/>
                <w:szCs w:val="18"/>
              </w:rPr>
              <w:t xml:space="preserve">def sign(method, path, body, ts, key):</w:t>
            </w:r>
          </w:p>
          <w:p>
            <w:pPr>
              <w:spacing w:after="20"/>
            </w:pPr>
            <w:r>
              <w:rPr>
                <w:rFonts w:ascii="Consolas" w:cs="Consolas" w:eastAsia="Consolas" w:hAnsi="Consolas"/>
                <w:color w:val="D8E8EA"/>
                <w:sz w:val="18"/>
                <w:szCs w:val="18"/>
              </w:rPr>
              <w:t xml:space="preserve">    base = f"{method}\n{path}\n{ts}\n{body}"</w:t>
            </w:r>
          </w:p>
          <w:p>
            <w:pPr>
              <w:spacing w:after="20"/>
            </w:pPr>
            <w:r>
              <w:rPr>
                <w:rFonts w:ascii="Consolas" w:cs="Consolas" w:eastAsia="Consolas" w:hAnsi="Consolas"/>
                <w:color w:val="D8E8EA"/>
                <w:sz w:val="18"/>
                <w:szCs w:val="18"/>
              </w:rPr>
              <w:t xml:space="preserve">    return hmac.new(key.encode(), base.encode(), hashlib.sha256).hexdigest()</w:t>
            </w:r>
          </w:p>
          <w:p>
            <w:pPr>
              <w:spacing w:after="20"/>
            </w:pPr>
            <w:r>
              <w:rPr>
                <w:rFonts w:ascii="Consolas" w:cs="Consolas" w:eastAsia="Consolas" w:hAnsi="Consolas"/>
                <w:color w:val="D8E8EA"/>
                <w:sz w:val="18"/>
                <w:szCs w:val="18"/>
              </w:rPr>
              <w:t xml:space="preserve"> </w:t>
            </w:r>
          </w:p>
          <w:p>
            <w:pPr>
              <w:spacing w:after="20"/>
            </w:pPr>
            <w:r>
              <w:rPr>
                <w:rFonts w:ascii="Consolas" w:cs="Consolas" w:eastAsia="Consolas" w:hAnsi="Consolas"/>
                <w:color w:val="D8E8EA"/>
                <w:sz w:val="18"/>
                <w:szCs w:val="18"/>
              </w:rPr>
              <w:t xml:space="preserve">ts = str(int(time.time()))</w:t>
            </w:r>
          </w:p>
          <w:p>
            <w:pPr>
              <w:spacing w:after="20"/>
            </w:pPr>
            <w:r>
              <w:rPr>
                <w:rFonts w:ascii="Consolas" w:cs="Consolas" w:eastAsia="Consolas" w:hAnsi="Consolas"/>
                <w:color w:val="D8E8EA"/>
                <w:sz w:val="18"/>
                <w:szCs w:val="18"/>
              </w:rPr>
              <w:t xml:space="preserve">body = '{"application_id": "app_8f13c9", ...}'</w:t>
            </w:r>
          </w:p>
          <w:p>
            <w:pPr>
              <w:spacing w:after="20"/>
            </w:pPr>
            <w:r>
              <w:rPr>
                <w:rFonts w:ascii="Consolas" w:cs="Consolas" w:eastAsia="Consolas" w:hAnsi="Consolas"/>
                <w:color w:val="D8E8EA"/>
                <w:sz w:val="18"/>
                <w:szCs w:val="18"/>
              </w:rPr>
              <w:t xml:space="preserve">sig = sign("POST", "/v1/score", body, ts, SIGNING_KEY)</w:t>
            </w:r>
          </w:p>
          <w:p>
            <w:pPr>
              <w:spacing w:after="20"/>
            </w:pPr>
            <w:r>
              <w:rPr>
                <w:rFonts w:ascii="Consolas" w:cs="Consolas" w:eastAsia="Consolas" w:hAnsi="Consolas"/>
                <w:color w:val="D8E8EA"/>
                <w:sz w:val="18"/>
                <w:szCs w:val="18"/>
              </w:rPr>
              <w:t xml:space="preserve"> </w:t>
            </w:r>
          </w:p>
          <w:p>
            <w:pPr>
              <w:spacing w:after="20"/>
            </w:pPr>
            <w:r>
              <w:rPr>
                <w:rFonts w:ascii="Consolas" w:cs="Consolas" w:eastAsia="Consolas" w:hAnsi="Consolas"/>
                <w:color w:val="D8E8EA"/>
                <w:sz w:val="18"/>
                <w:szCs w:val="18"/>
              </w:rPr>
              <w:t xml:space="preserve">resp = requests.post(</w:t>
            </w:r>
          </w:p>
          <w:p>
            <w:pPr>
              <w:spacing w:after="20"/>
            </w:pPr>
            <w:r>
              <w:rPr>
                <w:rFonts w:ascii="Consolas" w:cs="Consolas" w:eastAsia="Consolas" w:hAnsi="Consolas"/>
                <w:color w:val="D8E8EA"/>
                <w:sz w:val="18"/>
                <w:szCs w:val="18"/>
              </w:rPr>
              <w:t xml:space="preserve">    f"{BASE_URL}/v1/score", data=body,</w:t>
            </w:r>
          </w:p>
          <w:p>
            <w:pPr>
              <w:spacing w:after="20"/>
            </w:pPr>
            <w:r>
              <w:rPr>
                <w:rFonts w:ascii="Consolas" w:cs="Consolas" w:eastAsia="Consolas" w:hAnsi="Consolas"/>
                <w:color w:val="D8E8EA"/>
                <w:sz w:val="18"/>
                <w:szCs w:val="18"/>
              </w:rPr>
              <w:t xml:space="preserve">    headers={</w:t>
            </w:r>
          </w:p>
          <w:p>
            <w:pPr>
              <w:spacing w:after="20"/>
            </w:pPr>
            <w:r>
              <w:rPr>
                <w:rFonts w:ascii="Consolas" w:cs="Consolas" w:eastAsia="Consolas" w:hAnsi="Consolas"/>
                <w:color w:val="D8E8EA"/>
                <w:sz w:val="18"/>
                <w:szCs w:val="18"/>
              </w:rPr>
              <w:t xml:space="preserve">        "Authorization": f"Bearer {access_token}",</w:t>
            </w:r>
          </w:p>
          <w:p>
            <w:pPr>
              <w:spacing w:after="20"/>
            </w:pPr>
            <w:r>
              <w:rPr>
                <w:rFonts w:ascii="Consolas" w:cs="Consolas" w:eastAsia="Consolas" w:hAnsi="Consolas"/>
                <w:color w:val="D8E8EA"/>
                <w:sz w:val="18"/>
                <w:szCs w:val="18"/>
              </w:rPr>
              <w:t xml:space="preserve">        "X-Client-Id": CLIENT_ID,</w:t>
            </w:r>
          </w:p>
          <w:p>
            <w:pPr>
              <w:spacing w:after="20"/>
            </w:pPr>
            <w:r>
              <w:rPr>
                <w:rFonts w:ascii="Consolas" w:cs="Consolas" w:eastAsia="Consolas" w:hAnsi="Consolas"/>
                <w:color w:val="D8E8EA"/>
                <w:sz w:val="18"/>
                <w:szCs w:val="18"/>
              </w:rPr>
              <w:t xml:space="preserve">        "X-Timestamp": ts,</w:t>
            </w:r>
          </w:p>
          <w:p>
            <w:pPr>
              <w:spacing w:after="20"/>
            </w:pPr>
            <w:r>
              <w:rPr>
                <w:rFonts w:ascii="Consolas" w:cs="Consolas" w:eastAsia="Consolas" w:hAnsi="Consolas"/>
                <w:color w:val="D8E8EA"/>
                <w:sz w:val="18"/>
                <w:szCs w:val="18"/>
              </w:rPr>
              <w:t xml:space="preserve">        "X-Signature": sig,</w:t>
            </w:r>
          </w:p>
          <w:p>
            <w:pPr>
              <w:spacing w:after="20"/>
            </w:pPr>
            <w:r>
              <w:rPr>
                <w:rFonts w:ascii="Consolas" w:cs="Consolas" w:eastAsia="Consolas" w:hAnsi="Consolas"/>
                <w:color w:val="D8E8EA"/>
                <w:sz w:val="18"/>
                <w:szCs w:val="18"/>
              </w:rPr>
              <w:t xml:space="preserve">        "Content-Type": "application/json",</w:t>
            </w:r>
          </w:p>
          <w:p>
            <w:pPr>
              <w:spacing w:after="20"/>
            </w:pPr>
            <w:r>
              <w:rPr>
                <w:rFonts w:ascii="Consolas" w:cs="Consolas" w:eastAsia="Consolas" w:hAnsi="Consolas"/>
                <w:color w:val="D8E8EA"/>
                <w:sz w:val="18"/>
                <w:szCs w:val="18"/>
              </w:rPr>
              <w:t xml:space="preserve">    },</w:t>
            </w:r>
          </w:p>
          <w:p>
            <w:pPr>
              <w:spacing w:after="20"/>
            </w:pPr>
            <w:r>
              <w:rPr>
                <w:rFonts w:ascii="Consolas" w:cs="Consolas" w:eastAsia="Consolas" w:hAnsi="Consolas"/>
                <w:color w:val="D8E8EA"/>
                <w:sz w:val="18"/>
                <w:szCs w:val="18"/>
              </w:rPr>
              <w:t xml:space="preserve">)</w:t>
            </w:r>
          </w:p>
          <w:p>
            <w:pPr>
              <w:spacing w:after="20"/>
            </w:pPr>
            <w:r>
              <w:rPr>
                <w:rFonts w:ascii="Consolas" w:cs="Consolas" w:eastAsia="Consolas" w:hAnsi="Consolas"/>
                <w:color w:val="D8E8EA"/>
                <w:sz w:val="18"/>
                <w:szCs w:val="18"/>
              </w:rPr>
              <w:t xml:space="preserve">print(resp.json())</w:t>
            </w:r>
          </w:p>
        </w:tc>
      </w:tr>
    </w:tbl>
    <w:p>
      <w:pPr>
        <w:pStyle w:val="Heading1"/>
        <w:pBdr>
          <w:bottom w:val="single" w:color="00A8A8" w:sz="12" w:space="4"/>
        </w:pBdr>
        <w:spacing w:after="160" w:before="360"/>
      </w:pPr>
      <w:r>
        <w:rPr>
          <w:rFonts w:ascii="Calibri" w:cs="Calibri" w:eastAsia="Calibri" w:hAnsi="Calibri"/>
          <w:b/>
          <w:bCs/>
          <w:color w:val="0B1F3A"/>
          <w:sz w:val="30"/>
          <w:szCs w:val="30"/>
        </w:rPr>
        <w:t xml:space="preserve">16. Support &amp; Escalation</w:t>
      </w:r>
    </w:p>
    <w:tbl>
      <w:tblPr>
        <w:tblW w:type="pct" w:w="100%"/>
        <w:tblBorders>
          <w:top w:val="single" w:color="D6DEE5" w:sz="4"/>
          <w:left w:val="single" w:color="D6DEE5" w:sz="4"/>
          <w:bottom w:val="single" w:color="D6DEE5" w:sz="4"/>
          <w:right w:val="single" w:color="D6DEE5" w:sz="4"/>
          <w:insideH w:val="single" w:color="D6DEE5" w:sz="4"/>
          <w:insideV w:val="single" w:color="D6DEE5" w:sz="4"/>
        </w:tblBorders>
      </w:tblPr>
      <w:tblGrid>
        <w:gridCol w:w="3200"/>
        <w:gridCol w:w="3800"/>
        <w:gridCol w:w="2400"/>
      </w:tblGrid>
      <w:tr>
        <w:trPr>
          <w:tblHeader/>
        </w:trPr>
        <w:tc>
          <w:tcPr>
            <w:tcW w:type="dxa" w:w="3200"/>
            <w:shd w:fill="1F4E79" w:color="auto" w:val="clear"/>
            <w:tcMar>
              <w:top w:type="dxa" w:w="90"/>
              <w:left w:type="dxa" w:w="110"/>
              <w:bottom w:type="dxa" w:w="90"/>
              <w:right w:type="dxa" w:w="110"/>
            </w:tcMar>
            <w:vAlign w:val="center"/>
          </w:tcPr>
          <w:p>
            <w:r>
              <w:rPr>
                <w:rFonts w:ascii="Calibri" w:cs="Calibri" w:eastAsia="Calibri" w:hAnsi="Calibri"/>
                <w:b/>
                <w:bCs/>
                <w:color w:val="FFFFFF"/>
                <w:sz w:val="18"/>
                <w:szCs w:val="18"/>
              </w:rPr>
              <w:t xml:space="preserve">Channel</w:t>
            </w:r>
          </w:p>
        </w:tc>
        <w:tc>
          <w:tcPr>
            <w:tcW w:type="dxa" w:w="3800"/>
            <w:shd w:fill="1F4E79" w:color="auto" w:val="clear"/>
            <w:tcMar>
              <w:top w:type="dxa" w:w="90"/>
              <w:left w:type="dxa" w:w="110"/>
              <w:bottom w:type="dxa" w:w="90"/>
              <w:right w:type="dxa" w:w="110"/>
            </w:tcMar>
            <w:vAlign w:val="center"/>
          </w:tcPr>
          <w:p>
            <w:r>
              <w:rPr>
                <w:rFonts w:ascii="Calibri" w:cs="Calibri" w:eastAsia="Calibri" w:hAnsi="Calibri"/>
                <w:b/>
                <w:bCs/>
                <w:color w:val="FFFFFF"/>
                <w:sz w:val="18"/>
                <w:szCs w:val="18"/>
              </w:rPr>
              <w:t xml:space="preserve">Use for</w:t>
            </w:r>
          </w:p>
        </w:tc>
        <w:tc>
          <w:tcPr>
            <w:tcW w:type="dxa" w:w="2400"/>
            <w:shd w:fill="1F4E79" w:color="auto" w:val="clear"/>
            <w:tcMar>
              <w:top w:type="dxa" w:w="90"/>
              <w:left w:type="dxa" w:w="110"/>
              <w:bottom w:type="dxa" w:w="90"/>
              <w:right w:type="dxa" w:w="110"/>
            </w:tcMar>
            <w:vAlign w:val="center"/>
          </w:tcPr>
          <w:p>
            <w:r>
              <w:rPr>
                <w:rFonts w:ascii="Calibri" w:cs="Calibri" w:eastAsia="Calibri" w:hAnsi="Calibri"/>
                <w:b/>
                <w:bCs/>
                <w:color w:val="FFFFFF"/>
                <w:sz w:val="18"/>
                <w:szCs w:val="18"/>
              </w:rPr>
              <w:t xml:space="preserve">Response target</w:t>
            </w:r>
          </w:p>
        </w:tc>
      </w:tr>
      <w:tr>
        <w:tc>
          <w:tcPr>
            <w:tcW w:type="dxa" w:w="32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Client Slack channel (#fraud-api-support)</w:t>
            </w:r>
          </w:p>
        </w:tc>
        <w:tc>
          <w:tcPr>
            <w:tcW w:type="dxa" w:w="38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Day-to-day integration questions</w:t>
            </w:r>
          </w:p>
        </w:tc>
        <w:tc>
          <w:tcPr>
            <w:tcW w:type="dxa" w:w="24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Business hours, &lt; 2 hours</w:t>
            </w:r>
          </w:p>
        </w:tc>
      </w:tr>
      <w:tr>
        <w:tc>
          <w:tcPr>
            <w:tcW w:type="dxa" w:w="3200"/>
            <w:shd w:fill="F2F6F9"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support@electrosoft.io</w:t>
            </w:r>
          </w:p>
        </w:tc>
        <w:tc>
          <w:tcPr>
            <w:tcW w:type="dxa" w:w="3800"/>
            <w:shd w:fill="F2F6F9"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Non-urgent requests, documentation feedback</w:t>
            </w:r>
          </w:p>
        </w:tc>
        <w:tc>
          <w:tcPr>
            <w:tcW w:type="dxa" w:w="2400"/>
            <w:shd w:fill="F2F6F9"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&lt; 1 business day</w:t>
            </w:r>
          </w:p>
        </w:tc>
      </w:tr>
      <w:tr>
        <w:tc>
          <w:tcPr>
            <w:tcW w:type="dxa" w:w="32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24/7 on-call (production incidents only)</w:t>
            </w:r>
          </w:p>
        </w:tc>
        <w:tc>
          <w:tcPr>
            <w:tcW w:type="dxa" w:w="38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Sustained 5xx errors, latency breach, outage</w:t>
            </w:r>
          </w:p>
        </w:tc>
        <w:tc>
          <w:tcPr>
            <w:tcW w:type="dxa" w:w="2400"/>
            <w:shd w:fill="FFFFFF" w:color="auto" w:val="clear"/>
            <w:tcMar>
              <w:top w:type="dxa" w:w="90"/>
              <w:left w:type="dxa" w:w="110"/>
              <w:bottom w:type="dxa" w:w="90"/>
              <w:right w:type="dxa" w:w="110"/>
            </w:tcMar>
            <w:vAlign w:val="center"/>
          </w:tcPr>
          <w:p>
            <w:r>
              <w:rPr>
                <w:rFonts w:ascii="Calibri" w:cs="Calibri" w:eastAsia="Calibri" w:hAnsi="Calibri"/>
                <w:b w:val="false"/>
                <w:bCs w:val="false"/>
                <w:color w:val="33404A"/>
                <w:sz w:val="18"/>
                <w:szCs w:val="18"/>
              </w:rPr>
              <w:t xml:space="preserve">&lt; 15 minutes</w:t>
            </w:r>
          </w:p>
        </w:tc>
      </w:tr>
    </w:tbl>
    <w:p>
      <w:pPr>
        <w:spacing w:after="120"/>
      </w:pPr>
    </w:p>
    <w:p>
      <w:pPr>
        <w:spacing w:after="160" w:line="300"/>
        <w:jc w:val="both"/>
      </w:pPr>
      <w:r>
        <w:rPr>
          <w:rFonts w:ascii="Calibri" w:cs="Calibri" w:eastAsia="Calibri" w:hAnsi="Calibri"/>
          <w:color w:val="33404A"/>
          <w:sz w:val="20"/>
          <w:szCs w:val="20"/>
        </w:rPr>
        <w:t xml:space="preserve">For infrastructure-level detail behind this API — networking, auto-scaling policy, and disaster recovery — see the companion document Deployment_Architecture.pdf. For model methodology and results, see Fraud_Model_Report.pdf.</w:t>
      </w:r>
    </w:p>
    <w:sectPr>
      <w:headerReference w:type="default" r:id="rId7"/>
      <w:footerReference w:type="default" r:id="rId8"/>
      <w:pgSz w:w="12240" w:h="15840"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Bdr>
        <w:top w:val="single" w:color="D6DEE5" w:sz="4" w:space="4"/>
      </w:pBdr>
      <w:jc w:val="center"/>
    </w:pPr>
    <w:r>
      <w:rPr>
        <w:rFonts w:ascii="Calibri" w:cs="Calibri" w:eastAsia="Calibri" w:hAnsi="Calibri"/>
        <w:color w:val="5B6B79"/>
        <w:sz w:val="16"/>
        <w:szCs w:val="16"/>
      </w:rPr>
      <w:t xml:space="preserve">Page </w:t>
    </w:r>
    <w:r>
      <w:rPr>
        <w:rFonts w:ascii="Calibri" w:cs="Calibri" w:eastAsia="Calibri" w:hAnsi="Calibri"/>
        <w:color w:val="5B6B79"/>
        <w:sz w:val="16"/>
        <w:szCs w:val="16"/>
      </w:rPr>
      <w:fldChar w:fldCharType="begin"/>
      <w:instrText xml:space="preserve">PAGE</w:instrText>
      <w:fldChar w:fldCharType="separate"/>
      <w:fldChar w:fldCharType="end"/>
    </w:r>
    <w:r>
      <w:rPr>
        <w:rFonts w:ascii="Calibri" w:cs="Calibri" w:eastAsia="Calibri" w:hAnsi="Calibri"/>
        <w:color w:val="5B6B79"/>
        <w:sz w:val="16"/>
        <w:szCs w:val="16"/>
      </w:rPr>
      <w:t xml:space="preserve"> of </w:t>
    </w:r>
    <w:r>
      <w:rPr>
        <w:rFonts w:ascii="Calibri" w:cs="Calibri" w:eastAsia="Calibri" w:hAnsi="Calibri"/>
        <w:color w:val="5B6B79"/>
        <w:sz w:val="16"/>
        <w:szCs w:val="1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D6DEE5" w:sz="4" w:space="4"/>
      </w:pBdr>
      <w:tabs>
        <w:tab w:val="right" w:pos="9072"/>
      </w:tabs>
    </w:pPr>
    <w:r>
      <w:rPr>
        <w:rFonts w:ascii="Calibri" w:cs="Calibri" w:eastAsia="Calibri" w:hAnsi="Calibri"/>
        <w:b/>
        <w:bCs/>
        <w:color w:val="1F4E79"/>
        <w:sz w:val="16"/>
        <w:szCs w:val="16"/>
      </w:rPr>
      <w:t xml:space="preserve">electroSOFT</w:t>
    </w:r>
    <w:r>
      <w:rPr>
        <w:rFonts w:ascii="Calibri" w:cs="Calibri" w:eastAsia="Calibri" w:hAnsi="Calibri"/>
        <w:color w:val="5B6B79"/>
        <w:sz w:val="16"/>
        <w:szCs w:val="16"/>
      </w:rPr>
      <w:t xml:space="preserve">	Fraud Detection Scoring API — v1.3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color w:val="33404A"/>
        <w:sz w:val="20"/>
        <w:szCs w:val="20"/>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2026-07-15T11:12:15.772Z</dcterms:created>
  <dcterms:modified xsi:type="dcterms:W3CDTF">2026-07-15T11:12:15.799Z</dcterms:modified>
</cp:coreProperties>
</file>

<file path=docProps/custom.xml><?xml version="1.0" encoding="utf-8"?>
<Properties xmlns="http://schemas.openxmlformats.org/officeDocument/2006/custom-properties" xmlns:vt="http://schemas.openxmlformats.org/officeDocument/2006/docPropsVTypes"/>
</file>